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C1F" w:rsidRPr="00E10393" w:rsidRDefault="00326C1F" w:rsidP="00E10393">
      <w:pPr>
        <w:spacing w:after="0" w:line="240" w:lineRule="auto"/>
        <w:jc w:val="center"/>
        <w:rPr>
          <w:rFonts w:ascii="Times New Roman" w:hAnsi="Times New Roman" w:cs="Times New Roman"/>
          <w:b/>
          <w:bCs/>
          <w:sz w:val="24"/>
          <w:szCs w:val="24"/>
        </w:rPr>
      </w:pPr>
      <w:r w:rsidRPr="00E10393">
        <w:rPr>
          <w:rFonts w:ascii="Times New Roman" w:hAnsi="Times New Roman" w:cs="Times New Roman"/>
          <w:b/>
          <w:bCs/>
          <w:sz w:val="24"/>
          <w:szCs w:val="24"/>
        </w:rPr>
        <w:t>ANALISIS BIBLIKA BAPTISAN ROH KUDUS DAN</w:t>
      </w:r>
    </w:p>
    <w:p w:rsidR="00326C1F" w:rsidRPr="00E10393" w:rsidRDefault="00326C1F" w:rsidP="00E10393">
      <w:pPr>
        <w:spacing w:after="0" w:line="240" w:lineRule="auto"/>
        <w:jc w:val="center"/>
        <w:rPr>
          <w:rFonts w:ascii="Times New Roman" w:hAnsi="Times New Roman" w:cs="Times New Roman"/>
          <w:b/>
          <w:bCs/>
          <w:sz w:val="24"/>
          <w:szCs w:val="24"/>
        </w:rPr>
      </w:pPr>
      <w:r w:rsidRPr="00E10393">
        <w:rPr>
          <w:rFonts w:ascii="Times New Roman" w:hAnsi="Times New Roman" w:cs="Times New Roman"/>
          <w:b/>
          <w:bCs/>
          <w:sz w:val="24"/>
          <w:szCs w:val="24"/>
        </w:rPr>
        <w:t>PENUH DENGAN ROH KUDUS</w:t>
      </w:r>
    </w:p>
    <w:p w:rsidR="00E10393" w:rsidRDefault="00E10393" w:rsidP="00E10393">
      <w:pPr>
        <w:spacing w:after="0" w:line="240" w:lineRule="auto"/>
        <w:jc w:val="center"/>
        <w:rPr>
          <w:rFonts w:ascii="Times New Roman" w:hAnsi="Times New Roman" w:cs="Times New Roman"/>
          <w:b/>
          <w:bCs/>
          <w:sz w:val="24"/>
          <w:szCs w:val="24"/>
        </w:rPr>
      </w:pPr>
    </w:p>
    <w:p w:rsidR="00326C1F" w:rsidRPr="00822673" w:rsidRDefault="00326C1F" w:rsidP="00E10393">
      <w:pPr>
        <w:spacing w:after="0" w:line="240" w:lineRule="auto"/>
        <w:jc w:val="center"/>
        <w:rPr>
          <w:rFonts w:ascii="Times New Roman" w:hAnsi="Times New Roman" w:cs="Times New Roman"/>
          <w:bCs/>
          <w:sz w:val="24"/>
          <w:szCs w:val="24"/>
        </w:rPr>
      </w:pPr>
      <w:r w:rsidRPr="00822673">
        <w:rPr>
          <w:rFonts w:ascii="Times New Roman" w:hAnsi="Times New Roman" w:cs="Times New Roman"/>
          <w:bCs/>
          <w:sz w:val="24"/>
          <w:szCs w:val="24"/>
        </w:rPr>
        <w:t>Oleh</w:t>
      </w:r>
    </w:p>
    <w:p w:rsidR="00326C1F" w:rsidRPr="00822673" w:rsidRDefault="00326C1F" w:rsidP="00E10393">
      <w:pPr>
        <w:spacing w:after="0" w:line="240" w:lineRule="auto"/>
        <w:jc w:val="center"/>
        <w:rPr>
          <w:rFonts w:ascii="Times New Roman" w:hAnsi="Times New Roman" w:cs="Times New Roman"/>
          <w:sz w:val="24"/>
          <w:szCs w:val="24"/>
        </w:rPr>
      </w:pPr>
      <w:r w:rsidRPr="00822673">
        <w:rPr>
          <w:rFonts w:ascii="Times New Roman" w:hAnsi="Times New Roman" w:cs="Times New Roman"/>
          <w:bCs/>
          <w:sz w:val="24"/>
          <w:szCs w:val="24"/>
        </w:rPr>
        <w:t xml:space="preserve">(Misten Ginting &amp; </w:t>
      </w:r>
      <w:r w:rsidR="00822673" w:rsidRPr="00822673">
        <w:rPr>
          <w:rFonts w:ascii="Times New Roman" w:hAnsi="Times New Roman" w:cs="Times New Roman"/>
          <w:bCs/>
          <w:sz w:val="24"/>
          <w:szCs w:val="24"/>
        </w:rPr>
        <w:t>Ester Ria Wini</w:t>
      </w:r>
      <w:r w:rsidRPr="00822673">
        <w:rPr>
          <w:rFonts w:ascii="Times New Roman" w:hAnsi="Times New Roman" w:cs="Times New Roman"/>
          <w:bCs/>
          <w:sz w:val="24"/>
          <w:szCs w:val="24"/>
        </w:rPr>
        <w:t>)</w:t>
      </w:r>
    </w:p>
    <w:p w:rsidR="00E10393" w:rsidRDefault="00E10393" w:rsidP="00E10393">
      <w:pPr>
        <w:spacing w:after="0" w:line="240" w:lineRule="auto"/>
        <w:jc w:val="center"/>
        <w:rPr>
          <w:rFonts w:ascii="Times New Roman" w:hAnsi="Times New Roman" w:cs="Times New Roman"/>
          <w:b/>
          <w:bCs/>
          <w:sz w:val="24"/>
          <w:szCs w:val="24"/>
        </w:rPr>
      </w:pPr>
    </w:p>
    <w:p w:rsidR="00326C1F" w:rsidRPr="00E10393" w:rsidRDefault="00326C1F" w:rsidP="00E10393">
      <w:pPr>
        <w:spacing w:after="0" w:line="240" w:lineRule="auto"/>
        <w:jc w:val="center"/>
        <w:rPr>
          <w:rFonts w:ascii="Times New Roman" w:hAnsi="Times New Roman" w:cs="Times New Roman"/>
          <w:b/>
          <w:bCs/>
          <w:sz w:val="24"/>
          <w:szCs w:val="24"/>
        </w:rPr>
      </w:pPr>
      <w:r w:rsidRPr="00E10393">
        <w:rPr>
          <w:rFonts w:ascii="Times New Roman" w:hAnsi="Times New Roman" w:cs="Times New Roman"/>
          <w:b/>
          <w:bCs/>
          <w:sz w:val="24"/>
          <w:szCs w:val="24"/>
        </w:rPr>
        <w:t>Abstrak</w:t>
      </w:r>
    </w:p>
    <w:p w:rsidR="00326C1F" w:rsidRPr="00E10393" w:rsidRDefault="00326C1F" w:rsidP="00822673">
      <w:pPr>
        <w:spacing w:after="0" w:line="240" w:lineRule="auto"/>
        <w:ind w:left="720"/>
        <w:jc w:val="both"/>
        <w:rPr>
          <w:rFonts w:ascii="Times New Roman" w:hAnsi="Times New Roman" w:cs="Times New Roman"/>
          <w:bCs/>
          <w:sz w:val="24"/>
          <w:szCs w:val="24"/>
        </w:rPr>
      </w:pPr>
      <w:r w:rsidRPr="00E10393">
        <w:rPr>
          <w:rFonts w:ascii="Times New Roman" w:hAnsi="Times New Roman" w:cs="Times New Roman"/>
          <w:bCs/>
          <w:sz w:val="24"/>
          <w:szCs w:val="24"/>
        </w:rPr>
        <w:t>Baptisan Roh Kudus dan kepenuhan dengan Roh Kudus merupakan dua konsep sentral dalam pneumatologi Kristen yang sering menjadi perdebatan antar denominasi, terutama antara tradisi Pentakosta-Karismatik dan gereja-gereja arus utama. Penelitian ini bertujuan melakukan analisis biblika secara mendalam terhadap kedua istilah tersebut melalui pendekatan induktif terhadap teks-teks Perjanjian Baru.</w:t>
      </w:r>
    </w:p>
    <w:p w:rsidR="00326C1F" w:rsidRPr="00E10393" w:rsidRDefault="00326C1F" w:rsidP="00822673">
      <w:pPr>
        <w:spacing w:after="0" w:line="240" w:lineRule="auto"/>
        <w:ind w:left="720"/>
        <w:jc w:val="both"/>
        <w:rPr>
          <w:rFonts w:ascii="Times New Roman" w:hAnsi="Times New Roman" w:cs="Times New Roman"/>
          <w:bCs/>
          <w:sz w:val="24"/>
          <w:szCs w:val="24"/>
        </w:rPr>
      </w:pPr>
      <w:r w:rsidRPr="00E10393">
        <w:rPr>
          <w:rFonts w:ascii="Times New Roman" w:hAnsi="Times New Roman" w:cs="Times New Roman"/>
          <w:bCs/>
          <w:sz w:val="24"/>
          <w:szCs w:val="24"/>
        </w:rPr>
        <w:t>Hasil analisis menunjukkan bahwa Baptisan Roh Kudus memiliki dua dimensi utama: pertama, baptisan oleh Roh Kudus ke dalam satu Tubuh Kristus (1 Korintus 12:13) yang bersifat inisiatif, sekali untuk selamanya, dan terjadi pada saat kelahiran baru; kedua, baptisan dengan Roh Kudus oleh Yesus Kristus (Matius 3:11; Kisah Para Rasul 1:5) yang memberikan kuasa untuk pelayanan dan kesaksian. Sementara itu, “penuh dengan Roh Kudus” (pleroo/pleres tou Pneumatos) menggambarkan penguasaan Roh Kudus atas kehidupan orang percaya yang dapat terjadi berulang kali (Kisah Para Rasul 2:4; 4:8, 31; Efesus 5:18).</w:t>
      </w:r>
    </w:p>
    <w:p w:rsidR="00326C1F" w:rsidRPr="00E10393" w:rsidRDefault="00326C1F" w:rsidP="00822673">
      <w:pPr>
        <w:spacing w:after="0" w:line="240" w:lineRule="auto"/>
        <w:ind w:left="720"/>
        <w:jc w:val="both"/>
        <w:rPr>
          <w:rFonts w:ascii="Times New Roman" w:hAnsi="Times New Roman" w:cs="Times New Roman"/>
          <w:bCs/>
          <w:sz w:val="24"/>
          <w:szCs w:val="24"/>
        </w:rPr>
      </w:pPr>
      <w:r w:rsidRPr="00E10393">
        <w:rPr>
          <w:rFonts w:ascii="Times New Roman" w:hAnsi="Times New Roman" w:cs="Times New Roman"/>
          <w:bCs/>
          <w:sz w:val="24"/>
          <w:szCs w:val="24"/>
        </w:rPr>
        <w:t>Penelitian ini menyimpulkan bahwa kedua pengalaman saling terkait namun tidak identik. Baptisan Roh Kudus bersifat posisional dan inisiatif, sedangkan kepenuhan Roh Kudus bersifat kondisional dan progresif. Implikasi praktisnya adalah panggilan bagi setiap orang percaya untuk terus menyerahkan diri agar senantiasa dipenuhi Roh Kudus melalui doa, ketaatan, dan penyerahan total.</w:t>
      </w:r>
    </w:p>
    <w:p w:rsidR="00326C1F" w:rsidRPr="00E10393" w:rsidRDefault="00326C1F" w:rsidP="00822673">
      <w:pPr>
        <w:spacing w:after="0" w:line="240" w:lineRule="auto"/>
        <w:ind w:left="720"/>
        <w:jc w:val="both"/>
        <w:rPr>
          <w:rFonts w:ascii="Times New Roman" w:hAnsi="Times New Roman" w:cs="Times New Roman"/>
          <w:bCs/>
          <w:sz w:val="24"/>
          <w:szCs w:val="24"/>
        </w:rPr>
      </w:pPr>
      <w:r w:rsidRPr="00E10393">
        <w:rPr>
          <w:rFonts w:ascii="Times New Roman" w:hAnsi="Times New Roman" w:cs="Times New Roman"/>
          <w:b/>
          <w:bCs/>
          <w:sz w:val="24"/>
          <w:szCs w:val="24"/>
        </w:rPr>
        <w:t>Kata Kunci</w:t>
      </w:r>
      <w:r w:rsidRPr="00E10393">
        <w:rPr>
          <w:rFonts w:ascii="Times New Roman" w:hAnsi="Times New Roman" w:cs="Times New Roman"/>
          <w:bCs/>
          <w:sz w:val="24"/>
          <w:szCs w:val="24"/>
        </w:rPr>
        <w:t>: Baptisan Roh Kudus, Penuh dengan Roh Kudus, Pneumatologi, Analisis Biblika, Kisah Para Rasul, Efesus 5:18, 1 Korintus 12:13</w:t>
      </w:r>
    </w:p>
    <w:p w:rsidR="00E10393" w:rsidRDefault="00E10393" w:rsidP="00E10393">
      <w:pPr>
        <w:spacing w:line="360" w:lineRule="auto"/>
        <w:jc w:val="both"/>
        <w:rPr>
          <w:rFonts w:ascii="Times New Roman" w:hAnsi="Times New Roman" w:cs="Times New Roman"/>
          <w:b/>
          <w:bCs/>
          <w:sz w:val="24"/>
          <w:szCs w:val="24"/>
        </w:rPr>
      </w:pPr>
    </w:p>
    <w:p w:rsidR="00326C1F" w:rsidRPr="00E10393" w:rsidRDefault="00326C1F" w:rsidP="00822673">
      <w:pPr>
        <w:spacing w:line="276" w:lineRule="auto"/>
        <w:jc w:val="both"/>
        <w:rPr>
          <w:rFonts w:ascii="Times New Roman" w:hAnsi="Times New Roman" w:cs="Times New Roman"/>
          <w:b/>
          <w:bCs/>
          <w:sz w:val="24"/>
          <w:szCs w:val="24"/>
        </w:rPr>
      </w:pPr>
      <w:r w:rsidRPr="00E10393">
        <w:rPr>
          <w:rFonts w:ascii="Times New Roman" w:hAnsi="Times New Roman" w:cs="Times New Roman"/>
          <w:b/>
          <w:bCs/>
          <w:sz w:val="24"/>
          <w:szCs w:val="24"/>
        </w:rPr>
        <w:t>Pendahuluan</w:t>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Roh Kudus memegang peranan yang sangat sentral dan dinamis dalam kehidupan orang percaya serta dalam sejarah keselamatan Allah. Ia bukan sekadar konsep teologis abstrak atau Pribadi ketiga dalam Trinitas yang hadir secara doktrinal semata, melainkan Allah sendiri yang bekerja secara aktif, </w:t>
      </w:r>
      <w:r w:rsidRPr="00E10393">
        <w:rPr>
          <w:rFonts w:ascii="Times New Roman" w:hAnsi="Times New Roman" w:cs="Times New Roman"/>
          <w:bCs/>
          <w:sz w:val="24"/>
          <w:szCs w:val="24"/>
        </w:rPr>
        <w:lastRenderedPageBreak/>
        <w:t>pribadi, dan berkuasa di tengah umat-Nya. Janji Yesus Kristus tentang kedatangan Roh Kudus sebagai Penolong (</w:t>
      </w:r>
      <w:r w:rsidRPr="00E10393">
        <w:rPr>
          <w:rFonts w:ascii="Times New Roman" w:hAnsi="Times New Roman" w:cs="Times New Roman"/>
          <w:bCs/>
          <w:i/>
          <w:iCs/>
          <w:sz w:val="24"/>
          <w:szCs w:val="24"/>
        </w:rPr>
        <w:t>Parakletos</w:t>
      </w:r>
      <w:r w:rsidRPr="00E10393">
        <w:rPr>
          <w:rFonts w:ascii="Times New Roman" w:hAnsi="Times New Roman" w:cs="Times New Roman"/>
          <w:bCs/>
          <w:sz w:val="24"/>
          <w:szCs w:val="24"/>
        </w:rPr>
        <w:t>) yang akan menyertai, mengajar, mengingatkan, dan memimpin murid-</w:t>
      </w:r>
      <w:proofErr w:type="gramStart"/>
      <w:r w:rsidRPr="00E10393">
        <w:rPr>
          <w:rFonts w:ascii="Times New Roman" w:hAnsi="Times New Roman" w:cs="Times New Roman"/>
          <w:bCs/>
          <w:sz w:val="24"/>
          <w:szCs w:val="24"/>
        </w:rPr>
        <w:t>murid</w:t>
      </w:r>
      <w:proofErr w:type="gramEnd"/>
      <w:r w:rsidRPr="00E10393">
        <w:rPr>
          <w:rFonts w:ascii="Times New Roman" w:hAnsi="Times New Roman" w:cs="Times New Roman"/>
          <w:bCs/>
          <w:sz w:val="24"/>
          <w:szCs w:val="24"/>
        </w:rPr>
        <w:t>-Nya ke dalam seluruh kebenaran (Yohanes 14:16-17, 26; 15:26; 16:7-15) digenapi dengan cara yang sangat dramatis pada hari Pentakosta (Kisah Para Rasul 2:1-4). Peristiwa tersebut menjadi titik balik penting dalam sejarah gereja, di mana Roh Kudus dicurahkan bukan lagi secara sementara seperti di Perjanjian Lama, melainkan secara permanen sebagai meterai keselamatan dan kuasa bagi pelayanan.</w:t>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Sejak Pentakosta, istilah “baptisan Roh Kudus” dan “penuh dengan Roh Kudus” menjadi bagian integral dari pengajaran, pengalaman, dan kehidupan gereja mula-mula. Kedua ungkapan ini sering muncul dalam Kitab Kisah Para Rasul dan surat-surat Paulus, serta membentuk dasar pneumatologi Kristen secara keseluruhan. Namun, sepanjang sejarah gereja, khususnya sejak kebangkitan gerakan Pentakosta di awal abad ke-20 (Azusa Street Revival, 1906), kedua istilah tersebut sering dipahami secara berbeda-beda, bahkan menimbulkan perdebatan yang cukup tajam antar denominasi.</w:t>
      </w:r>
      <w:r w:rsidRPr="00E10393">
        <w:rPr>
          <w:rStyle w:val="FootnoteReference"/>
          <w:rFonts w:ascii="Times New Roman" w:hAnsi="Times New Roman" w:cs="Times New Roman"/>
          <w:bCs/>
          <w:sz w:val="24"/>
          <w:szCs w:val="24"/>
        </w:rPr>
        <w:footnoteReference w:id="1"/>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Bagi kalangan Pentakosta-Karismatik klasik, baptisan Roh Kudus dipandang sebagai pengalaman rohani kedua (</w:t>
      </w:r>
      <w:r w:rsidRPr="00E10393">
        <w:rPr>
          <w:rFonts w:ascii="Times New Roman" w:hAnsi="Times New Roman" w:cs="Times New Roman"/>
          <w:bCs/>
          <w:i/>
          <w:iCs/>
          <w:sz w:val="24"/>
          <w:szCs w:val="24"/>
        </w:rPr>
        <w:t>second blessing</w:t>
      </w:r>
      <w:r w:rsidRPr="00E10393">
        <w:rPr>
          <w:rFonts w:ascii="Times New Roman" w:hAnsi="Times New Roman" w:cs="Times New Roman"/>
          <w:bCs/>
          <w:sz w:val="24"/>
          <w:szCs w:val="24"/>
        </w:rPr>
        <w:t xml:space="preserve"> atau </w:t>
      </w:r>
      <w:r w:rsidRPr="00E10393">
        <w:rPr>
          <w:rFonts w:ascii="Times New Roman" w:hAnsi="Times New Roman" w:cs="Times New Roman"/>
          <w:bCs/>
          <w:i/>
          <w:iCs/>
          <w:sz w:val="24"/>
          <w:szCs w:val="24"/>
        </w:rPr>
        <w:t>subsequence</w:t>
      </w:r>
      <w:r w:rsidRPr="00E10393">
        <w:rPr>
          <w:rFonts w:ascii="Times New Roman" w:hAnsi="Times New Roman" w:cs="Times New Roman"/>
          <w:bCs/>
          <w:sz w:val="24"/>
          <w:szCs w:val="24"/>
        </w:rPr>
        <w:t>) yang terpisah dari kelahiran baru, yang biasanya ditandai dengan bukti awal berbahasa roh (</w:t>
      </w:r>
      <w:r w:rsidRPr="00E10393">
        <w:rPr>
          <w:rFonts w:ascii="Times New Roman" w:hAnsi="Times New Roman" w:cs="Times New Roman"/>
          <w:bCs/>
          <w:i/>
          <w:iCs/>
          <w:sz w:val="24"/>
          <w:szCs w:val="24"/>
        </w:rPr>
        <w:t>initial physical evidence</w:t>
      </w:r>
      <w:r w:rsidRPr="00E10393">
        <w:rPr>
          <w:rFonts w:ascii="Times New Roman" w:hAnsi="Times New Roman" w:cs="Times New Roman"/>
          <w:bCs/>
          <w:sz w:val="24"/>
          <w:szCs w:val="24"/>
        </w:rPr>
        <w:t xml:space="preserve"> berupa </w:t>
      </w:r>
      <w:r w:rsidRPr="00E10393">
        <w:rPr>
          <w:rFonts w:ascii="Times New Roman" w:hAnsi="Times New Roman" w:cs="Times New Roman"/>
          <w:bCs/>
          <w:i/>
          <w:iCs/>
          <w:sz w:val="24"/>
          <w:szCs w:val="24"/>
        </w:rPr>
        <w:t>speaking in tongues</w:t>
      </w:r>
      <w:r w:rsidRPr="00E10393">
        <w:rPr>
          <w:rFonts w:ascii="Times New Roman" w:hAnsi="Times New Roman" w:cs="Times New Roman"/>
          <w:bCs/>
          <w:sz w:val="24"/>
          <w:szCs w:val="24"/>
        </w:rPr>
        <w:t>).</w:t>
      </w:r>
      <w:r w:rsidRPr="00E10393">
        <w:rPr>
          <w:rStyle w:val="FootnoteReference"/>
          <w:rFonts w:ascii="Times New Roman" w:hAnsi="Times New Roman" w:cs="Times New Roman"/>
          <w:bCs/>
          <w:sz w:val="24"/>
          <w:szCs w:val="24"/>
        </w:rPr>
        <w:footnoteReference w:id="2"/>
      </w:r>
      <w:r w:rsidRPr="00E10393">
        <w:rPr>
          <w:rFonts w:ascii="Times New Roman" w:hAnsi="Times New Roman" w:cs="Times New Roman"/>
          <w:bCs/>
          <w:sz w:val="24"/>
          <w:szCs w:val="24"/>
        </w:rPr>
        <w:t xml:space="preserve"> Pengalaman ini dipahami sebagai pemberian kuasa khusus untuk pelayanan dan kesaksian yang efektif (Kisah Para Rasul 1:8). Sebaliknya, dalam tradisi Reformed dan Evangelikal yang lebih luas, baptisan Roh Kudus sering diidentikkan dengan saat seseorang diselamatkan, yaitu ketika Roh Kudus memasukkan orang percaya ke dalam Tubuh Kristus (1 Korintus 12:13). Sementara itu, “dipenuhi dengan Roh Kudus” dipahami sebagai perintah berkelanjutan untuk penyerahan hidup yang total (Efesus 5:18), bukan sebagai pengalaman unik yang hanya terjadi sekali.</w:t>
      </w:r>
      <w:r w:rsidRPr="00E10393">
        <w:rPr>
          <w:rStyle w:val="FootnoteReference"/>
          <w:rFonts w:ascii="Times New Roman" w:hAnsi="Times New Roman" w:cs="Times New Roman"/>
          <w:bCs/>
          <w:sz w:val="24"/>
          <w:szCs w:val="24"/>
        </w:rPr>
        <w:footnoteReference w:id="3"/>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lastRenderedPageBreak/>
        <w:t>Perbedaan pemahaman ini bukanlah sekadar isu akademis semata, melainkan memiliki dampak yang luas terhadap praktik rohani, pola ibadah, strategi pelayanan, dan bahkan kehidupan bergereja. Di satu sisi, ada bahaya mengabaikan atau meremehkan kuasa dan pekerjaan dinamis Roh Kudus (seperti yang sering dikritik dalam kalangan non-Karismatik). Di sisi lain, ada risiko menjadikan pengalaman supranatural sebagai ukuran utama spiritualitas, yang dapat mengakibatkan subyektivisme berlebihan dan pembagian antara “orang rohani” dan “orang biasa”.</w:t>
      </w:r>
      <w:r w:rsidRPr="00E10393">
        <w:rPr>
          <w:rStyle w:val="FootnoteReference"/>
          <w:rFonts w:ascii="Times New Roman" w:hAnsi="Times New Roman" w:cs="Times New Roman"/>
          <w:bCs/>
          <w:sz w:val="24"/>
          <w:szCs w:val="24"/>
        </w:rPr>
        <w:footnoteReference w:id="4"/>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Oleh karena itu, diperlukan suatu analisis biblika yang cermat, obyektif, dan seimbang yang berpegang teguh pada otoritas Alkitab sebagai sumber utama, tanpa terjebak dalam kerangka denominasional tertentu terlebih dahulu. Penelitian ini bertujuan untuk: (1) menelusuri makna asli istilah-istilah dalam bahasa Yunani, yaitu </w:t>
      </w:r>
      <w:r w:rsidRPr="00E10393">
        <w:rPr>
          <w:rFonts w:ascii="Times New Roman" w:hAnsi="Times New Roman" w:cs="Times New Roman"/>
          <w:bCs/>
          <w:i/>
          <w:iCs/>
          <w:sz w:val="24"/>
          <w:szCs w:val="24"/>
        </w:rPr>
        <w:t>baptizō</w:t>
      </w:r>
      <w:r w:rsidRPr="00E10393">
        <w:rPr>
          <w:rFonts w:ascii="Times New Roman" w:hAnsi="Times New Roman" w:cs="Times New Roman"/>
          <w:bCs/>
          <w:sz w:val="24"/>
          <w:szCs w:val="24"/>
        </w:rPr>
        <w:t xml:space="preserve"> (membaptis, mencelupkan) dan </w:t>
      </w:r>
      <w:r w:rsidRPr="00E10393">
        <w:rPr>
          <w:rFonts w:ascii="Times New Roman" w:hAnsi="Times New Roman" w:cs="Times New Roman"/>
          <w:bCs/>
          <w:i/>
          <w:iCs/>
          <w:sz w:val="24"/>
          <w:szCs w:val="24"/>
        </w:rPr>
        <w:t>pleroō/plērēs</w:t>
      </w:r>
      <w:r w:rsidRPr="00E10393">
        <w:rPr>
          <w:rFonts w:ascii="Times New Roman" w:hAnsi="Times New Roman" w:cs="Times New Roman"/>
          <w:bCs/>
          <w:sz w:val="24"/>
          <w:szCs w:val="24"/>
        </w:rPr>
        <w:t xml:space="preserve"> (memenuhi, penuh) beserta konteks penggunaannya; (2) menginventarisasi dan menganalisis secara eksegetis semua peristiwa serta pengajaran yang terkait dengan baptisan dan kepenuhan Roh Kudus di dalam Alkitab, terutama dalam Kitab Kisah Para Rasul dan surat-surat Paulus; (3) menarik kesimpulan secara induktif mengenai hubungan, kesamaan, dan perbedaan antara kedua konsep tersebut; serta (4) memberikan implikasi praktis yang relevan bagi kehidupan rohani, pelayanan, dan persekutuan orang percaya di era kontemporer.</w:t>
      </w:r>
      <w:r w:rsidR="00E10393">
        <w:rPr>
          <w:rFonts w:ascii="Times New Roman" w:hAnsi="Times New Roman" w:cs="Times New Roman"/>
          <w:bCs/>
          <w:sz w:val="24"/>
          <w:szCs w:val="24"/>
        </w:rPr>
        <w:t xml:space="preserve"> </w:t>
      </w:r>
      <w:r w:rsidRPr="00E10393">
        <w:rPr>
          <w:rFonts w:ascii="Times New Roman" w:hAnsi="Times New Roman" w:cs="Times New Roman"/>
          <w:bCs/>
          <w:sz w:val="24"/>
          <w:szCs w:val="24"/>
        </w:rPr>
        <w:t>Melalui pendekatan ini, diharapkan dapat dicapai pemahaman yang lebih utuh dan sehat tentang pekerjaan Roh Kudus, sehingga umat Tuhan dapat mengalami keseimbangan antara doktrin yang kokoh dan pengalaman rohani yang autentik.</w:t>
      </w:r>
    </w:p>
    <w:p w:rsidR="00326C1F" w:rsidRPr="00E10393" w:rsidRDefault="00326C1F" w:rsidP="00822673">
      <w:pPr>
        <w:spacing w:line="276" w:lineRule="auto"/>
        <w:jc w:val="both"/>
        <w:rPr>
          <w:rFonts w:ascii="Times New Roman" w:hAnsi="Times New Roman" w:cs="Times New Roman"/>
          <w:b/>
          <w:bCs/>
          <w:sz w:val="24"/>
          <w:szCs w:val="24"/>
        </w:rPr>
      </w:pPr>
      <w:r w:rsidRPr="00E10393">
        <w:rPr>
          <w:rFonts w:ascii="Times New Roman" w:hAnsi="Times New Roman" w:cs="Times New Roman"/>
          <w:b/>
          <w:bCs/>
          <w:sz w:val="24"/>
          <w:szCs w:val="24"/>
        </w:rPr>
        <w:t>Metode Penelitian</w:t>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Penelitian ini merupakan studi teologi dengan pendekatan analisis biblika yang bersifat eksploratif-induktif. Metode yang digunakan adalah analisis eksegetis-induktif terhadap teks Alkitab, dengan tujuan memperoleh pemahaman yang utuh dan seimbang mengenai konsep Baptisan Roh Kudus dan Penuh dengan Roh Kudus berdasarkan kesaksian Alkitab itu sendiri.</w:t>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lastRenderedPageBreak/>
        <w:t>Pendekatan utama dalam penelitian ini adalah studi teks (textual study) yang dilakukan melalui beberapa langkah metodologis sebagai berikut:</w:t>
      </w:r>
    </w:p>
    <w:p w:rsidR="00326C1F" w:rsidRPr="00E10393" w:rsidRDefault="00326C1F" w:rsidP="00822673">
      <w:pPr>
        <w:numPr>
          <w:ilvl w:val="0"/>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 xml:space="preserve">Analisis Leksikal Penelitian dimulai dengan pemeriksaan mendalam terhadap makna kata-kata kunci dalam bahasa Yunani Koine. Kata </w:t>
      </w:r>
      <w:r w:rsidRPr="00E10393">
        <w:rPr>
          <w:rFonts w:ascii="Times New Roman" w:hAnsi="Times New Roman" w:cs="Times New Roman"/>
          <w:bCs/>
          <w:i/>
          <w:iCs/>
          <w:sz w:val="24"/>
          <w:szCs w:val="24"/>
        </w:rPr>
        <w:t>baptizō</w:t>
      </w:r>
      <w:r w:rsidRPr="00E10393">
        <w:rPr>
          <w:rFonts w:ascii="Times New Roman" w:hAnsi="Times New Roman" w:cs="Times New Roman"/>
          <w:bCs/>
          <w:sz w:val="24"/>
          <w:szCs w:val="24"/>
        </w:rPr>
        <w:t xml:space="preserve"> (βαπτίζω) yang berarti “membaptis, mencelupkan, merendam, atau membenamkan” dan kata </w:t>
      </w:r>
      <w:r w:rsidRPr="00E10393">
        <w:rPr>
          <w:rFonts w:ascii="Times New Roman" w:hAnsi="Times New Roman" w:cs="Times New Roman"/>
          <w:bCs/>
          <w:i/>
          <w:iCs/>
          <w:sz w:val="24"/>
          <w:szCs w:val="24"/>
        </w:rPr>
        <w:t>pleroō</w:t>
      </w:r>
      <w:r w:rsidRPr="00E10393">
        <w:rPr>
          <w:rFonts w:ascii="Times New Roman" w:hAnsi="Times New Roman" w:cs="Times New Roman"/>
          <w:bCs/>
          <w:sz w:val="24"/>
          <w:szCs w:val="24"/>
        </w:rPr>
        <w:t xml:space="preserve"> (πληρόω) serta </w:t>
      </w:r>
      <w:r w:rsidRPr="00E10393">
        <w:rPr>
          <w:rFonts w:ascii="Times New Roman" w:hAnsi="Times New Roman" w:cs="Times New Roman"/>
          <w:bCs/>
          <w:i/>
          <w:iCs/>
          <w:sz w:val="24"/>
          <w:szCs w:val="24"/>
        </w:rPr>
        <w:t>plērēs</w:t>
      </w:r>
      <w:r w:rsidRPr="00E10393">
        <w:rPr>
          <w:rFonts w:ascii="Times New Roman" w:hAnsi="Times New Roman" w:cs="Times New Roman"/>
          <w:bCs/>
          <w:sz w:val="24"/>
          <w:szCs w:val="24"/>
        </w:rPr>
        <w:t xml:space="preserve"> (πλήρης) yang berarti “memenuhi, membuat penuh, atau mengisi sepenuhnya” dianalisis secara cermat. Analisis ini dibantu oleh kamus bahasa Yunani standar seperti </w:t>
      </w:r>
      <w:r w:rsidRPr="00E10393">
        <w:rPr>
          <w:rFonts w:ascii="Times New Roman" w:hAnsi="Times New Roman" w:cs="Times New Roman"/>
          <w:bCs/>
          <w:i/>
          <w:iCs/>
          <w:sz w:val="24"/>
          <w:szCs w:val="24"/>
        </w:rPr>
        <w:t>A Greek-English Lexicon of the New Testament and Other Early Christian Literature</w:t>
      </w:r>
      <w:r w:rsidRPr="00E10393">
        <w:rPr>
          <w:rFonts w:ascii="Times New Roman" w:hAnsi="Times New Roman" w:cs="Times New Roman"/>
          <w:bCs/>
          <w:sz w:val="24"/>
          <w:szCs w:val="24"/>
        </w:rPr>
        <w:t xml:space="preserve"> (BDAG) karya Bauer, Danker, Arndt, dan Gingrich, serta </w:t>
      </w:r>
      <w:r w:rsidRPr="00E10393">
        <w:rPr>
          <w:rFonts w:ascii="Times New Roman" w:hAnsi="Times New Roman" w:cs="Times New Roman"/>
          <w:bCs/>
          <w:i/>
          <w:iCs/>
          <w:sz w:val="24"/>
          <w:szCs w:val="24"/>
        </w:rPr>
        <w:t>Thayer’s Greek-English Lexicon of the New Testament</w:t>
      </w:r>
      <w:r w:rsidRPr="00E10393">
        <w:rPr>
          <w:rFonts w:ascii="Times New Roman" w:hAnsi="Times New Roman" w:cs="Times New Roman"/>
          <w:bCs/>
          <w:sz w:val="24"/>
          <w:szCs w:val="24"/>
        </w:rPr>
        <w:t>.</w:t>
      </w:r>
      <w:r w:rsidRPr="00E10393">
        <w:rPr>
          <w:rStyle w:val="FootnoteReference"/>
          <w:rFonts w:ascii="Times New Roman" w:hAnsi="Times New Roman" w:cs="Times New Roman"/>
          <w:bCs/>
          <w:sz w:val="24"/>
          <w:szCs w:val="24"/>
        </w:rPr>
        <w:footnoteReference w:id="5"/>
      </w:r>
      <w:r w:rsidRPr="00E10393">
        <w:rPr>
          <w:rFonts w:ascii="Times New Roman" w:hAnsi="Times New Roman" w:cs="Times New Roman"/>
          <w:bCs/>
          <w:sz w:val="24"/>
          <w:szCs w:val="24"/>
        </w:rPr>
        <w:t xml:space="preserve"> Selain itu, digunakan pula concordansi Yunani untuk melihat pola penggunaan kata-kata tersebut dalam seluruh Perjanjian Baru.</w:t>
      </w:r>
    </w:p>
    <w:p w:rsidR="00326C1F" w:rsidRPr="00E10393" w:rsidRDefault="00326C1F" w:rsidP="00822673">
      <w:pPr>
        <w:numPr>
          <w:ilvl w:val="0"/>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Analisis Kontekstual Setiap perikop yang relevan dikaji dalam tiga dimensi konteks, yaitu konteks historis, sastra, dan teologis. Fokus utama penelitian diarahkan pada:</w:t>
      </w:r>
    </w:p>
    <w:p w:rsidR="00326C1F" w:rsidRPr="00E10393" w:rsidRDefault="00326C1F" w:rsidP="00822673">
      <w:pPr>
        <w:numPr>
          <w:ilvl w:val="1"/>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Perjanjian Lama, sebagai latar belakang teologis pencurahan Roh Kudus (Yoel 2:28-32; Yehezkiel 36:26-27; Yesaya 44:3; Bilangan 11:25).</w:t>
      </w:r>
    </w:p>
    <w:p w:rsidR="00326C1F" w:rsidRPr="00E10393" w:rsidRDefault="00326C1F" w:rsidP="00822673">
      <w:pPr>
        <w:numPr>
          <w:ilvl w:val="1"/>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Pengajaran Yohanes Pembaptis dan Tuhan Yesus mengenai baptisan Roh Kudus (Matius 3:11; Markus 1:8; Lukas 3:16; Yohanes 1:33; Kisah Para Rasul 1:5).</w:t>
      </w:r>
    </w:p>
    <w:p w:rsidR="00326C1F" w:rsidRPr="00E10393" w:rsidRDefault="00326C1F" w:rsidP="00822673">
      <w:pPr>
        <w:numPr>
          <w:ilvl w:val="1"/>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Peristiwa-peristiwa historis dalam Kitab Kisah Para Rasul yang mencatat pengalaman baptisan dan kepenuhan Roh Kudus (Kisah 2:1-4; 4:8, 31; 8:14-17; 9:17; 10:44-48; 11:15-18; 13:9, 52; 19:1-7).</w:t>
      </w:r>
    </w:p>
    <w:p w:rsidR="00326C1F" w:rsidRPr="00E10393" w:rsidRDefault="00326C1F" w:rsidP="00822673">
      <w:pPr>
        <w:numPr>
          <w:ilvl w:val="1"/>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lastRenderedPageBreak/>
        <w:t>Pengajaran apostolik Paulus dalam surat-suratnya (1 Korintus 12:12-13; Efesus 5:18; Galatia 3:27; Roma 8:9-11).</w:t>
      </w:r>
      <w:r w:rsidRPr="00E10393">
        <w:rPr>
          <w:rStyle w:val="FootnoteReference"/>
          <w:rFonts w:ascii="Times New Roman" w:hAnsi="Times New Roman" w:cs="Times New Roman"/>
          <w:bCs/>
          <w:sz w:val="24"/>
          <w:szCs w:val="24"/>
        </w:rPr>
        <w:footnoteReference w:id="6"/>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Analisis ini memperhatikan struktur sastra, latar belakang budaya, serta maksud penulis suci dalam setiap perikop.</w:t>
      </w:r>
    </w:p>
    <w:p w:rsidR="00326C1F" w:rsidRPr="00E10393" w:rsidRDefault="00326C1F" w:rsidP="00822673">
      <w:pPr>
        <w:numPr>
          <w:ilvl w:val="0"/>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Pendekatan Induktif Penelitian ini menggunakan pendekatan induktif, yaitu mengumpulkan seluruh data tekstual yang relevan terlebih dahulu, kemudian menarik kesimpulan teologis dari data tersebut. Pendekatan ini dilakukan untuk menghindari memaksakan kerangka teologi denominasional tertentu sebelum teks Alkitab berbicara dengan sendirinya.</w:t>
      </w:r>
      <w:r w:rsidRPr="00E10393">
        <w:rPr>
          <w:rStyle w:val="FootnoteReference"/>
          <w:rFonts w:ascii="Times New Roman" w:hAnsi="Times New Roman" w:cs="Times New Roman"/>
          <w:bCs/>
          <w:sz w:val="24"/>
          <w:szCs w:val="24"/>
        </w:rPr>
        <w:footnoteReference w:id="7"/>
      </w:r>
    </w:p>
    <w:p w:rsidR="00326C1F" w:rsidRPr="00E10393" w:rsidRDefault="00326C1F" w:rsidP="00822673">
      <w:pPr>
        <w:numPr>
          <w:ilvl w:val="0"/>
          <w:numId w:val="2"/>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Pendekatan Komparatif Setelah analisis induktif dilakukan, penelitian membandingkan berbagai pandangan teologi dari aliran-aliran utama, yaitu perspektif Pentakosta-Karismatik, Evangelikal, Reformed, dan Karismatik kontemporer. Perbandingan ini bertujuan untuk menemukan titik temu dan perbedaan, sekaligus menunjukkan kekuatan serta kelemahan masing-masing pandangan berdasarkan kesaksian Alkitab. Namun, otoritas tertinggi tetap diberikan kepada teks Alkitab itu sendiri.</w:t>
      </w:r>
      <w:r w:rsidRPr="00E10393">
        <w:rPr>
          <w:rStyle w:val="FootnoteReference"/>
          <w:rFonts w:ascii="Times New Roman" w:hAnsi="Times New Roman" w:cs="Times New Roman"/>
          <w:bCs/>
          <w:sz w:val="24"/>
          <w:szCs w:val="24"/>
        </w:rPr>
        <w:footnoteReference w:id="8"/>
      </w:r>
    </w:p>
    <w:p w:rsidR="00326C1F" w:rsidRPr="00E10393" w:rsidRDefault="00326C1F"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Penelitian ini bersifat kualitatif dan bersifat pustaka (library research). Sumber primer utama adalah teks Alkitab dalam terjemahan bahasa Indonesia (Terjemahan Baru LAI) dan teks Yunani Perjanjian Baru (Nestle-Aland 28th Edition). Sumber sekunder meliputi buku-buku teologi, komentar Alkitab, jurnal teologi, dan karya-karya eksegetis yang relevan dari para ahli pneumatologi.</w:t>
      </w:r>
      <w:r w:rsidR="00E10393">
        <w:rPr>
          <w:rFonts w:ascii="Times New Roman" w:hAnsi="Times New Roman" w:cs="Times New Roman"/>
          <w:bCs/>
          <w:sz w:val="24"/>
          <w:szCs w:val="24"/>
        </w:rPr>
        <w:t xml:space="preserve"> </w:t>
      </w:r>
      <w:r w:rsidRPr="00E10393">
        <w:rPr>
          <w:rFonts w:ascii="Times New Roman" w:hAnsi="Times New Roman" w:cs="Times New Roman"/>
          <w:bCs/>
          <w:sz w:val="24"/>
          <w:szCs w:val="24"/>
        </w:rPr>
        <w:t>Penelitian ini tidak melibatkan metode kuantitatif, survei empiris, maupun wawancara, karena fokus utamanya adalah analisis biblika dan eksegetis terhadap teks suci.</w:t>
      </w:r>
    </w:p>
    <w:p w:rsidR="00822673" w:rsidRDefault="00822673" w:rsidP="00822673">
      <w:pPr>
        <w:spacing w:line="276" w:lineRule="auto"/>
        <w:jc w:val="both"/>
        <w:rPr>
          <w:rFonts w:ascii="Times New Roman" w:hAnsi="Times New Roman" w:cs="Times New Roman"/>
          <w:b/>
          <w:bCs/>
          <w:sz w:val="24"/>
          <w:szCs w:val="24"/>
        </w:rPr>
      </w:pPr>
    </w:p>
    <w:p w:rsidR="00326C1F" w:rsidRPr="00E10393" w:rsidRDefault="00326C1F" w:rsidP="00822673">
      <w:pPr>
        <w:spacing w:line="276" w:lineRule="auto"/>
        <w:jc w:val="both"/>
        <w:rPr>
          <w:rFonts w:ascii="Times New Roman" w:hAnsi="Times New Roman" w:cs="Times New Roman"/>
          <w:sz w:val="24"/>
          <w:szCs w:val="24"/>
        </w:rPr>
      </w:pPr>
      <w:r w:rsidRPr="00E10393">
        <w:rPr>
          <w:rFonts w:ascii="Times New Roman" w:hAnsi="Times New Roman" w:cs="Times New Roman"/>
          <w:b/>
          <w:bCs/>
          <w:sz w:val="24"/>
          <w:szCs w:val="24"/>
        </w:rPr>
        <w:lastRenderedPageBreak/>
        <w:t>Pembahasan</w:t>
      </w:r>
    </w:p>
    <w:p w:rsidR="00F0225D" w:rsidRPr="00974218" w:rsidRDefault="00F0225D" w:rsidP="00822673">
      <w:pPr>
        <w:spacing w:line="276" w:lineRule="auto"/>
        <w:jc w:val="both"/>
        <w:rPr>
          <w:rFonts w:ascii="Times New Roman" w:hAnsi="Times New Roman" w:cs="Times New Roman"/>
          <w:b/>
          <w:bCs/>
          <w:sz w:val="24"/>
          <w:szCs w:val="24"/>
        </w:rPr>
      </w:pPr>
      <w:r w:rsidRPr="00974218">
        <w:rPr>
          <w:rFonts w:ascii="Times New Roman" w:hAnsi="Times New Roman" w:cs="Times New Roman"/>
          <w:b/>
          <w:bCs/>
          <w:sz w:val="24"/>
          <w:szCs w:val="24"/>
        </w:rPr>
        <w:t>1. Baptisan Roh Kudus dalam Perspektif Alkitab</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Istilah “Baptisan Roh Kudus” merupakan salah satu konsep paling penting dalam pneumatologi Perjanjian Baru. Ungkapan ini pertama kali muncul secara eksplisit melalui mulut Yohanes Pembaptis yang menyatakan bahwa Mesias yang akan datang memiliki kuasa yang jauh lebih besar daripada dirinya: “Aku membaptis kamu dengan air sebagai tanda pertobatan, tetapi Ia yang datang kemudian dari padaku lebih berkuasa dari padaku... Ia akan membaptis kamu dengan Roh Kudus dan dengan api” (Matius 3:11; lihat juga Markus 1:8; Lukas 3:16; Yohanes 1:33).</w:t>
      </w:r>
      <w:r w:rsidRPr="00E10393">
        <w:rPr>
          <w:rStyle w:val="FootnoteReference"/>
          <w:rFonts w:ascii="Times New Roman" w:hAnsi="Times New Roman" w:cs="Times New Roman"/>
          <w:bCs/>
          <w:sz w:val="24"/>
          <w:szCs w:val="24"/>
        </w:rPr>
        <w:footnoteReference w:id="9"/>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Tuhan Yesus sendiri mengulangi dan mengonfirmasi janji ini menjelang kenaikan-Nya ke surga. Dalam Kisah Para Rasul 1:5 Ia berfirman: “Sebab Yohanes membaptis dengan air, tetapi tidak lama lagi kamu akan dibaptis dengan Roh Kudus.” Pernyataan ini diulangi kembali oleh Petrus dalam Kisah Para Rasul 11:16, menunjukkan bahwa janji tersebut merupakan bagian penting dari pengajaran apostolik awal.</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Dalam surat-surat Paulus, konsep baptisan Roh Kudus mendapat penjelasan yang sangat signifikan dalam 1 Korintus 12:13: “Sebab dalam satu Roh kita semua, baik orang Yahudi maupun orang Yunani, baik budak maupun orang merdeka, telah dibaptis menjadi satu tubuh dan kita semua diberi minum dari satu Roh.” Ayat ini menekankan dua hal pokok: pertama, sifat inisiatif (initiatory) dari baptisan Roh Kudus, yaitu suatu peristiwa yang terjadi satu kali pada saat seseorang diselamatkan; kedua, aspek kesatuan (unity), di mana Roh Kudus memasukkan semua orang percaya tanpa memandang latar belakang etnis, status sosial, atau gender ke dalam satu Tubuh Kristus, yaitu gereja.</w:t>
      </w:r>
      <w:r w:rsidRPr="00E10393">
        <w:rPr>
          <w:rStyle w:val="FootnoteReference"/>
          <w:rFonts w:ascii="Times New Roman" w:hAnsi="Times New Roman" w:cs="Times New Roman"/>
          <w:bCs/>
          <w:sz w:val="24"/>
          <w:szCs w:val="24"/>
        </w:rPr>
        <w:footnoteReference w:id="10"/>
      </w:r>
      <w:r w:rsidRPr="00E10393">
        <w:rPr>
          <w:rFonts w:ascii="Times New Roman" w:hAnsi="Times New Roman" w:cs="Times New Roman"/>
          <w:bCs/>
          <w:sz w:val="24"/>
          <w:szCs w:val="24"/>
        </w:rPr>
        <w:t xml:space="preserve"> Dengan demikian, baptisan Roh Kudus dalam pengertian ini bersifat universal dan menjadi pengalaman semua orang yang benar-benar percaya kepada Kristus, bukan pengalaman khusus bagi sebagian orang saja.</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lastRenderedPageBreak/>
        <w:t>Di sisi lain, narasi dalam Kitab Kisah Para Rasul menggambarkan “baptisan dengan Roh Kudus” dengan ungkapan-ungkapan yang sangat dinamis dan bervariasi. Istilah ini sering digambarkan sebagai “turun ke atas mereka” (</w:t>
      </w:r>
      <w:r w:rsidRPr="00E10393">
        <w:rPr>
          <w:rFonts w:ascii="Times New Roman" w:hAnsi="Times New Roman" w:cs="Times New Roman"/>
          <w:bCs/>
          <w:i/>
          <w:iCs/>
          <w:sz w:val="24"/>
          <w:szCs w:val="24"/>
        </w:rPr>
        <w:t>epipiptō</w:t>
      </w:r>
      <w:r w:rsidRPr="00E10393">
        <w:rPr>
          <w:rFonts w:ascii="Times New Roman" w:hAnsi="Times New Roman" w:cs="Times New Roman"/>
          <w:bCs/>
          <w:sz w:val="24"/>
          <w:szCs w:val="24"/>
        </w:rPr>
        <w:t>, Kisah 10:44; 11:15), “dicurahkan” (</w:t>
      </w:r>
      <w:r w:rsidRPr="00E10393">
        <w:rPr>
          <w:rFonts w:ascii="Times New Roman" w:hAnsi="Times New Roman" w:cs="Times New Roman"/>
          <w:bCs/>
          <w:i/>
          <w:iCs/>
          <w:sz w:val="24"/>
          <w:szCs w:val="24"/>
        </w:rPr>
        <w:t>ekcheō</w:t>
      </w:r>
      <w:r w:rsidRPr="00E10393">
        <w:rPr>
          <w:rFonts w:ascii="Times New Roman" w:hAnsi="Times New Roman" w:cs="Times New Roman"/>
          <w:bCs/>
          <w:sz w:val="24"/>
          <w:szCs w:val="24"/>
        </w:rPr>
        <w:t>, Kisah 2:33; 10:45), “datang atas” (</w:t>
      </w:r>
      <w:r w:rsidRPr="00E10393">
        <w:rPr>
          <w:rFonts w:ascii="Times New Roman" w:hAnsi="Times New Roman" w:cs="Times New Roman"/>
          <w:bCs/>
          <w:i/>
          <w:iCs/>
          <w:sz w:val="24"/>
          <w:szCs w:val="24"/>
        </w:rPr>
        <w:t>erchomai</w:t>
      </w:r>
      <w:r w:rsidRPr="00E10393">
        <w:rPr>
          <w:rFonts w:ascii="Times New Roman" w:hAnsi="Times New Roman" w:cs="Times New Roman"/>
          <w:bCs/>
          <w:sz w:val="24"/>
          <w:szCs w:val="24"/>
        </w:rPr>
        <w:t>, Kisah 19:6), serta “menerima Roh Kudus”. Peristiwa Pentakosta (Kisah 2:1-4) menjadi model utama dan paling dramatis, di mana para murid “semuanya penuh dengan Roh Kudus” dan mulai berbicara dalam bahasa roh sesuai dengan yang diberikan Roh Kudus kepada mereka.</w:t>
      </w:r>
      <w:r w:rsidRPr="00E10393">
        <w:rPr>
          <w:rStyle w:val="FootnoteReference"/>
          <w:rFonts w:ascii="Times New Roman" w:hAnsi="Times New Roman" w:cs="Times New Roman"/>
          <w:bCs/>
          <w:sz w:val="24"/>
          <w:szCs w:val="24"/>
        </w:rPr>
        <w:footnoteReference w:id="11"/>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Peristiwa penting lainnya adalah pencurahan Roh Kudus atas rumah tangga Kornelius, seorang kapten pasukan Romawi yang bukan Yahudi (Kisah 10:44-48). Peristiwa ini sangat mengejutkan Petrus dan rekan-rekannya karena Roh Kudus turun atas orang-orang bukan Yahudi tanpa penumpangan tangan terlebih dahulu. Petrus kemudian menyimpulkan bahwa pengalaman tersebut merupakan baptisan Roh Kudus yang sama dengan yang dialami para rasul pada hari Pentakosta (Kisah 11:15-17). Hal ini menjadi bukti kuat bahwa</w:t>
      </w:r>
      <w:r w:rsidR="00822673">
        <w:rPr>
          <w:rFonts w:ascii="Times New Roman" w:hAnsi="Times New Roman" w:cs="Times New Roman"/>
          <w:bCs/>
          <w:sz w:val="24"/>
          <w:szCs w:val="24"/>
        </w:rPr>
        <w:t xml:space="preserve"> </w:t>
      </w:r>
      <w:r w:rsidRPr="00E10393">
        <w:rPr>
          <w:rFonts w:ascii="Times New Roman" w:hAnsi="Times New Roman" w:cs="Times New Roman"/>
          <w:bCs/>
          <w:sz w:val="24"/>
          <w:szCs w:val="24"/>
        </w:rPr>
        <w:t>Allah tidak membedakan antara orang Yahudi dan orang bukan Yahudi dalam pemberian Roh Kudus-Nya.</w:t>
      </w:r>
      <w:r w:rsidRPr="00E10393">
        <w:rPr>
          <w:rStyle w:val="FootnoteReference"/>
          <w:rFonts w:ascii="Times New Roman" w:hAnsi="Times New Roman" w:cs="Times New Roman"/>
          <w:bCs/>
          <w:sz w:val="24"/>
          <w:szCs w:val="24"/>
        </w:rPr>
        <w:footnoteReference w:id="12"/>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Secara teologis, baptisan Roh Kudus menandai transisi yang sangat penting dari era Perjanjian Lama ke era Perjanjian Baru. Dalam Perjanjian Lama, Roh Kudus biasanya “datang atas” (</w:t>
      </w:r>
      <w:r w:rsidRPr="00E10393">
        <w:rPr>
          <w:rFonts w:ascii="Times New Roman" w:hAnsi="Times New Roman" w:cs="Times New Roman"/>
          <w:bCs/>
          <w:i/>
          <w:iCs/>
          <w:sz w:val="24"/>
          <w:szCs w:val="24"/>
        </w:rPr>
        <w:t>came upon</w:t>
      </w:r>
      <w:r w:rsidRPr="00E10393">
        <w:rPr>
          <w:rFonts w:ascii="Times New Roman" w:hAnsi="Times New Roman" w:cs="Times New Roman"/>
          <w:bCs/>
          <w:sz w:val="24"/>
          <w:szCs w:val="24"/>
        </w:rPr>
        <w:t>) seseorang untuk tugas tertentu dan bersifat sementara, seperti yang dialami oleh para hakim, nabi, dan raja-raja Israel (misalnya Hakim 14:6; 1 Samuel 16:13). Namun dalam Perjanjian Baru, Roh Kudus “diam di dalam” (</w:t>
      </w:r>
      <w:r w:rsidRPr="00E10393">
        <w:rPr>
          <w:rFonts w:ascii="Times New Roman" w:hAnsi="Times New Roman" w:cs="Times New Roman"/>
          <w:bCs/>
          <w:i/>
          <w:iCs/>
          <w:sz w:val="24"/>
          <w:szCs w:val="24"/>
        </w:rPr>
        <w:t>indwell</w:t>
      </w:r>
      <w:r w:rsidRPr="00E10393">
        <w:rPr>
          <w:rFonts w:ascii="Times New Roman" w:hAnsi="Times New Roman" w:cs="Times New Roman"/>
          <w:bCs/>
          <w:sz w:val="24"/>
          <w:szCs w:val="24"/>
        </w:rPr>
        <w:t>) orang percaya secara permanen sebagai meterai kepemilikan Allah dan jaminan warisan kekal (Efesus 1:13-14; 2 Korintus 1:22; Roma 8:9).</w:t>
      </w:r>
      <w:r w:rsidRPr="00E10393">
        <w:rPr>
          <w:rStyle w:val="FootnoteReference"/>
          <w:rFonts w:ascii="Times New Roman" w:hAnsi="Times New Roman" w:cs="Times New Roman"/>
          <w:bCs/>
          <w:sz w:val="24"/>
          <w:szCs w:val="24"/>
        </w:rPr>
        <w:footnoteReference w:id="13"/>
      </w:r>
      <w:r w:rsidR="00E10393">
        <w:rPr>
          <w:rFonts w:ascii="Times New Roman" w:hAnsi="Times New Roman" w:cs="Times New Roman"/>
          <w:bCs/>
          <w:sz w:val="24"/>
          <w:szCs w:val="24"/>
        </w:rPr>
        <w:t xml:space="preserve"> </w:t>
      </w:r>
      <w:r w:rsidRPr="00E10393">
        <w:rPr>
          <w:rFonts w:ascii="Times New Roman" w:hAnsi="Times New Roman" w:cs="Times New Roman"/>
          <w:bCs/>
          <w:sz w:val="24"/>
          <w:szCs w:val="24"/>
        </w:rPr>
        <w:t xml:space="preserve">Dengan demikian, baptisan Roh Kudus bukan sekadar pengalaman emosional sesaat, melainkan karya Allah yang bersifat posisional, inisiatif, dan transformatif yang menempatkan </w:t>
      </w:r>
      <w:r w:rsidRPr="00E10393">
        <w:rPr>
          <w:rFonts w:ascii="Times New Roman" w:hAnsi="Times New Roman" w:cs="Times New Roman"/>
          <w:bCs/>
          <w:sz w:val="24"/>
          <w:szCs w:val="24"/>
        </w:rPr>
        <w:lastRenderedPageBreak/>
        <w:t>setiap orang percaya ke dalam persekutuan Tubuh Kristus dan menyediakan dasar bagi kehidupan rohani yang baru.</w:t>
      </w:r>
    </w:p>
    <w:p w:rsidR="00F0225D" w:rsidRPr="00E10393" w:rsidRDefault="00F0225D" w:rsidP="00822673">
      <w:pPr>
        <w:spacing w:line="276" w:lineRule="auto"/>
        <w:jc w:val="both"/>
        <w:rPr>
          <w:rFonts w:ascii="Times New Roman" w:hAnsi="Times New Roman" w:cs="Times New Roman"/>
          <w:b/>
          <w:bCs/>
          <w:sz w:val="24"/>
          <w:szCs w:val="24"/>
        </w:rPr>
      </w:pPr>
      <w:r w:rsidRPr="00E10393">
        <w:rPr>
          <w:rFonts w:ascii="Times New Roman" w:hAnsi="Times New Roman" w:cs="Times New Roman"/>
          <w:b/>
          <w:bCs/>
          <w:sz w:val="24"/>
          <w:szCs w:val="24"/>
        </w:rPr>
        <w:t>2. Penuh dengan Roh Kudus</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Ungkapan “penuh dengan Roh Kudus” (</w:t>
      </w:r>
      <w:r w:rsidRPr="00E10393">
        <w:rPr>
          <w:rFonts w:ascii="Times New Roman" w:hAnsi="Times New Roman" w:cs="Times New Roman"/>
          <w:bCs/>
          <w:i/>
          <w:iCs/>
          <w:sz w:val="24"/>
          <w:szCs w:val="24"/>
        </w:rPr>
        <w:t>plērēs Pneumatos Hagiou</w:t>
      </w:r>
      <w:r w:rsidRPr="00E10393">
        <w:rPr>
          <w:rFonts w:ascii="Times New Roman" w:hAnsi="Times New Roman" w:cs="Times New Roman"/>
          <w:bCs/>
          <w:sz w:val="24"/>
          <w:szCs w:val="24"/>
        </w:rPr>
        <w:t>) dan “dipenuhi dengan Roh Kudus” (</w:t>
      </w:r>
      <w:r w:rsidRPr="00E10393">
        <w:rPr>
          <w:rFonts w:ascii="Times New Roman" w:hAnsi="Times New Roman" w:cs="Times New Roman"/>
          <w:bCs/>
          <w:i/>
          <w:iCs/>
          <w:sz w:val="24"/>
          <w:szCs w:val="24"/>
        </w:rPr>
        <w:t>eplēsthēsan Pneumatos Hagiou</w:t>
      </w:r>
      <w:r w:rsidRPr="00E10393">
        <w:rPr>
          <w:rFonts w:ascii="Times New Roman" w:hAnsi="Times New Roman" w:cs="Times New Roman"/>
          <w:bCs/>
          <w:sz w:val="24"/>
          <w:szCs w:val="24"/>
        </w:rPr>
        <w:t>) merupakan salah satu karakteristik paling menonjol dalam kehidupan dan pelayanan gereja mula-mula seperti yang tercatat dalam Kitab Kisah Para Rasul. Berbeda dengan “baptisan Roh Kudus” yang cenderung digambarkan sebagai peristiwa inisiatif, ungkapan kepenuhan Roh Kudus muncul berulang kali dan menunjukkan pengalaman yang dinamis serta berulang.</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Pada hari Pentakosta, Lukas mencatat dengan jelas: “Maka penuhlah mereka semua dengan Roh Kudus, lalu mereka mulai berkata-kata dalam bahasa-bahasa lain, seperti yang diberikan oleh Roh itu kepada mereka untuk mengucapkannya” (Kisah Para Rasul 2:4).</w:t>
      </w:r>
      <w:r w:rsidRPr="00E10393">
        <w:rPr>
          <w:rStyle w:val="FootnoteReference"/>
          <w:rFonts w:ascii="Times New Roman" w:hAnsi="Times New Roman" w:cs="Times New Roman"/>
          <w:bCs/>
          <w:sz w:val="24"/>
          <w:szCs w:val="24"/>
        </w:rPr>
        <w:footnoteReference w:id="14"/>
      </w:r>
      <w:r w:rsidRPr="00E10393">
        <w:rPr>
          <w:rFonts w:ascii="Times New Roman" w:hAnsi="Times New Roman" w:cs="Times New Roman"/>
          <w:bCs/>
          <w:sz w:val="24"/>
          <w:szCs w:val="24"/>
        </w:rPr>
        <w:t xml:space="preserve"> Selanjutnya, ungkapan yang sama muncul berkali-kali dalam narasi Kisah Para Rasul. Petrus “penuh dengan Roh Kudus” ketika ia memberanikan diri berbicara di hadapan Mahkamah Agama Sanhedrin (Kisah 4:8). Setelah jemaat berdoa bersama-sama memohon keberanian, mereka “dipenuhi dengan Roh Kudus” sehingga tempat mereka berkumpul bergoyang dan mereka memberitakan Firman Allah dengan penuh keberanian (Kisah 4:31). Paulus juga “dipenuhi dengan Roh Kudus” ketika ia menghadapi Elimas, tukang sihir itu, dan menjatuhkan hukuman ilahi atasnya (Kisah 13:9). Bahkan Stefanus, sebelum ia dirajam, digambarkan sebagai “seorang yang penuh dengan Roh Kudus” (Kisah 7:55).</w:t>
      </w:r>
      <w:r w:rsidRPr="00E10393">
        <w:rPr>
          <w:rStyle w:val="FootnoteReference"/>
          <w:rFonts w:ascii="Times New Roman" w:hAnsi="Times New Roman" w:cs="Times New Roman"/>
          <w:bCs/>
          <w:sz w:val="24"/>
          <w:szCs w:val="24"/>
        </w:rPr>
        <w:footnoteReference w:id="15"/>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Perintah yang paling tegas dan jelas mengenai kepenuhan Roh Kudus ditemukan dalam surat Efesus. Dalam Efesus 5:18 Rasul Paulus menulis: “Janganlah kamu mabuk oleh anggur, karena hal itu membawa kerusakan, tetapi hendaklah kamu dipenuhi dengan Roh.” Penggunaan kata kerja </w:t>
      </w:r>
      <w:r w:rsidRPr="00E10393">
        <w:rPr>
          <w:rFonts w:ascii="Times New Roman" w:hAnsi="Times New Roman" w:cs="Times New Roman"/>
          <w:bCs/>
          <w:i/>
          <w:iCs/>
          <w:sz w:val="24"/>
          <w:szCs w:val="24"/>
        </w:rPr>
        <w:t>plērousthe</w:t>
      </w:r>
      <w:r w:rsidRPr="00E10393">
        <w:rPr>
          <w:rFonts w:ascii="Times New Roman" w:hAnsi="Times New Roman" w:cs="Times New Roman"/>
          <w:bCs/>
          <w:sz w:val="24"/>
          <w:szCs w:val="24"/>
        </w:rPr>
        <w:t xml:space="preserve"> dalam bentuk present imperative pasif sangat penting untuk </w:t>
      </w:r>
      <w:r w:rsidRPr="00E10393">
        <w:rPr>
          <w:rFonts w:ascii="Times New Roman" w:hAnsi="Times New Roman" w:cs="Times New Roman"/>
          <w:bCs/>
          <w:sz w:val="24"/>
          <w:szCs w:val="24"/>
        </w:rPr>
        <w:lastRenderedPageBreak/>
        <w:t>dipahami. Bentuk present menunjukkan tindakan yang bersifat terus-menerus atau berulang, sementara bentuk imperatif pasif dapat diterjemahkan sebagai “teruslah dipenuhi” atau “biarlah kamu senantiasa dipenuhi dengan Roh”.</w:t>
      </w:r>
      <w:r w:rsidRPr="00E10393">
        <w:rPr>
          <w:rStyle w:val="FootnoteReference"/>
          <w:rFonts w:ascii="Times New Roman" w:hAnsi="Times New Roman" w:cs="Times New Roman"/>
          <w:bCs/>
          <w:sz w:val="24"/>
          <w:szCs w:val="24"/>
        </w:rPr>
        <w:footnoteReference w:id="16"/>
      </w:r>
      <w:r w:rsidRPr="00E10393">
        <w:rPr>
          <w:rFonts w:ascii="Times New Roman" w:hAnsi="Times New Roman" w:cs="Times New Roman"/>
          <w:bCs/>
          <w:sz w:val="24"/>
          <w:szCs w:val="24"/>
        </w:rPr>
        <w:t xml:space="preserve"> Hal ini jelas berbeda dengan baptisan Roh Kudus yang bersifat sekali untuk selamanya (</w:t>
      </w:r>
      <w:r w:rsidRPr="00E10393">
        <w:rPr>
          <w:rFonts w:ascii="Times New Roman" w:hAnsi="Times New Roman" w:cs="Times New Roman"/>
          <w:bCs/>
          <w:i/>
          <w:iCs/>
          <w:sz w:val="24"/>
          <w:szCs w:val="24"/>
        </w:rPr>
        <w:t>once-for-all</w:t>
      </w:r>
      <w:r w:rsidRPr="00E10393">
        <w:rPr>
          <w:rFonts w:ascii="Times New Roman" w:hAnsi="Times New Roman" w:cs="Times New Roman"/>
          <w:bCs/>
          <w:sz w:val="24"/>
          <w:szCs w:val="24"/>
        </w:rPr>
        <w:t>).</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Kepenuhan dengan Roh Kudus bukan sekadar pengalaman emosional atau sensasi spiritual sesaat. Secara teologis, kepenuhan berarti Roh Kudus menguasai seluruh aspek kehidupan orang percaya pikiran, emosi, kehendak, sikap, perkataan, dan perilakunya. Ketika seseorang dipenuhi dengan Roh Kudus, ia tidak lagi dikendalikan oleh keinginan daging, melainkan oleh kehendak dan kuasa Roh Allah. Hasil nyata dari kepenuhan ini adalah:</w:t>
      </w:r>
    </w:p>
    <w:p w:rsidR="00F0225D" w:rsidRPr="00E10393" w:rsidRDefault="00F0225D" w:rsidP="00822673">
      <w:pPr>
        <w:numPr>
          <w:ilvl w:val="0"/>
          <w:numId w:val="4"/>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Buah Roh yang semakin nyata dalam kehidupan sehari-hari (Galatia 5:22-23),</w:t>
      </w:r>
    </w:p>
    <w:p w:rsidR="00F0225D" w:rsidRPr="00E10393" w:rsidRDefault="00F0225D" w:rsidP="00822673">
      <w:pPr>
        <w:numPr>
          <w:ilvl w:val="0"/>
          <w:numId w:val="4"/>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Penggunaan karunia-karunia Roh secara sehat dan untuk pembangunan tubuh Kristus (1 Korintus 12:4-11),</w:t>
      </w:r>
    </w:p>
    <w:p w:rsidR="00F0225D" w:rsidRPr="00E10393" w:rsidRDefault="00F0225D" w:rsidP="00822673">
      <w:pPr>
        <w:numPr>
          <w:ilvl w:val="0"/>
          <w:numId w:val="4"/>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Kuasa untuk bersaksi dan memberitakan Firman dengan keberanian (Kisah 1:8; 4:31), serta</w:t>
      </w:r>
    </w:p>
    <w:p w:rsidR="00F0225D" w:rsidRPr="00E10393" w:rsidRDefault="00F0225D" w:rsidP="00822673">
      <w:pPr>
        <w:numPr>
          <w:ilvl w:val="0"/>
          <w:numId w:val="4"/>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Ketaatan dan kesucian hidup yang semakin bertumbuh.</w:t>
      </w:r>
      <w:r w:rsidRPr="00E10393">
        <w:rPr>
          <w:rStyle w:val="FootnoteReference"/>
          <w:rFonts w:ascii="Times New Roman" w:hAnsi="Times New Roman" w:cs="Times New Roman"/>
          <w:bCs/>
          <w:sz w:val="24"/>
          <w:szCs w:val="24"/>
        </w:rPr>
        <w:footnoteReference w:id="17"/>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Dengan demikian, kepenuhan Roh Kudus bersifat kondisional dan progresif. Ia sangat bergantung pada penyerahan diri orang percaya kepada Tuhan. Semakin seseorang menyerahkan hidupnya sepenuhnya kepada Roh Kudus, semakin ia akan mengalami kepenuhan yang lebih dalam. Oleh karena itu, kepenuhan Roh Kudus bukanlah tujuan akhir, melainkan suatu proses berkelanjutan sepanjang hidup orang percaya hingga Kristus datang kembali.</w:t>
      </w:r>
      <w:r w:rsidRPr="00E10393">
        <w:rPr>
          <w:rStyle w:val="FootnoteReference"/>
          <w:rFonts w:ascii="Times New Roman" w:hAnsi="Times New Roman" w:cs="Times New Roman"/>
          <w:bCs/>
          <w:sz w:val="24"/>
          <w:szCs w:val="24"/>
        </w:rPr>
        <w:footnoteReference w:id="18"/>
      </w:r>
    </w:p>
    <w:p w:rsidR="00822673" w:rsidRDefault="00822673" w:rsidP="00822673">
      <w:pPr>
        <w:spacing w:line="276" w:lineRule="auto"/>
        <w:jc w:val="both"/>
        <w:rPr>
          <w:rFonts w:ascii="Times New Roman" w:hAnsi="Times New Roman" w:cs="Times New Roman"/>
          <w:b/>
          <w:bCs/>
          <w:sz w:val="24"/>
          <w:szCs w:val="24"/>
        </w:rPr>
      </w:pPr>
    </w:p>
    <w:p w:rsidR="00F0225D" w:rsidRPr="00E10393" w:rsidRDefault="00F0225D" w:rsidP="00822673">
      <w:pPr>
        <w:spacing w:line="276" w:lineRule="auto"/>
        <w:jc w:val="both"/>
        <w:rPr>
          <w:rFonts w:ascii="Times New Roman" w:hAnsi="Times New Roman" w:cs="Times New Roman"/>
          <w:b/>
          <w:bCs/>
          <w:sz w:val="24"/>
          <w:szCs w:val="24"/>
        </w:rPr>
      </w:pPr>
      <w:r w:rsidRPr="00E10393">
        <w:rPr>
          <w:rFonts w:ascii="Times New Roman" w:hAnsi="Times New Roman" w:cs="Times New Roman"/>
          <w:b/>
          <w:bCs/>
          <w:sz w:val="24"/>
          <w:szCs w:val="24"/>
        </w:rPr>
        <w:lastRenderedPageBreak/>
        <w:t>3. Perbedaan dan Hubungan antara Baptisan dan Kepenuhan</w:t>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Dari analisis tekstual dan eksegetis yang telah dilakukan, terdapat perbedaan yang jelas sekaligus hubungan yang erat antara Baptisan Roh Kudus dan Penuh dengan Roh Kudus. Kedua konsep ini saling melengkapi, namun tidak boleh disamakan atau dipertukarkan begitu saja.</w:t>
      </w:r>
      <w:r w:rsidR="00E10393">
        <w:rPr>
          <w:rFonts w:ascii="Times New Roman" w:hAnsi="Times New Roman" w:cs="Times New Roman"/>
          <w:bCs/>
          <w:sz w:val="24"/>
          <w:szCs w:val="24"/>
        </w:rPr>
        <w:t xml:space="preserve"> </w:t>
      </w:r>
      <w:r w:rsidRPr="00E10393">
        <w:rPr>
          <w:rFonts w:ascii="Times New Roman" w:hAnsi="Times New Roman" w:cs="Times New Roman"/>
          <w:bCs/>
          <w:sz w:val="24"/>
          <w:szCs w:val="24"/>
        </w:rPr>
        <w:t>Secara umum, Baptisan Roh Kudus bersifat posisional dan inisiatif (</w:t>
      </w:r>
      <w:r w:rsidRPr="00E10393">
        <w:rPr>
          <w:rFonts w:ascii="Times New Roman" w:hAnsi="Times New Roman" w:cs="Times New Roman"/>
          <w:bCs/>
          <w:i/>
          <w:iCs/>
          <w:sz w:val="24"/>
          <w:szCs w:val="24"/>
        </w:rPr>
        <w:t>once-for-all</w:t>
      </w:r>
      <w:r w:rsidRPr="00E10393">
        <w:rPr>
          <w:rFonts w:ascii="Times New Roman" w:hAnsi="Times New Roman" w:cs="Times New Roman"/>
          <w:bCs/>
          <w:sz w:val="24"/>
          <w:szCs w:val="24"/>
        </w:rPr>
        <w:t>). Ia merupakan karya Allah yang terjadi satu kali pada saat seseorang bertobat dan percaya kepada Yesus Kristus. Melalui baptisan Roh Kudus, orang percaya dimasukkan ke dalam Tubuh Kristus (1 Korintus 12:13) dan menerima Roh Kudus sebagai meterai keselamatan serta jaminan warisan kekal (Efesus 1:13-14). Baptisan ini bersifat universal, berlaku bagi semua orang percaya tanpa kecuali, dan menjadi dasar posisi rohani yang baru di hadapan Allah.</w:t>
      </w:r>
      <w:r w:rsidRPr="00E10393">
        <w:rPr>
          <w:rStyle w:val="FootnoteReference"/>
          <w:rFonts w:ascii="Times New Roman" w:hAnsi="Times New Roman" w:cs="Times New Roman"/>
          <w:bCs/>
          <w:sz w:val="24"/>
          <w:szCs w:val="24"/>
        </w:rPr>
        <w:footnoteReference w:id="19"/>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Sebaliknya, kepenuhan dengan Roh Kudus bersifat kondisional dan progresif. Ia bukanlah peristiwa yang terjadi hanya sekali, melainkan suatu pengalaman yang dapat dan seharusnya berulang kali sepanjang kehidupan orang percaya. Kepenuhan sangat bergantung pada sikap penyerahan, ketaatan, dan kerelaan orang percaya untuk terus dikendalikan oleh Roh Kudus (Efesus 5:18). Oleh karena itu, seseorang dapat mengalami kepenuhan Roh Kudus yang berbeda tingkatannya pada berbagai saat dan situasi, seperti yang terlihat pada Petrus (Kisah 4:8 dan 4:31</w:t>
      </w:r>
      <w:r w:rsidR="00E10393" w:rsidRPr="00E10393">
        <w:rPr>
          <w:rFonts w:ascii="Times New Roman" w:hAnsi="Times New Roman" w:cs="Times New Roman"/>
          <w:bCs/>
          <w:sz w:val="24"/>
          <w:szCs w:val="24"/>
        </w:rPr>
        <w:t>) maupun pada jemaat Yerusalem.</w:t>
      </w:r>
      <w:r w:rsidR="00E10393" w:rsidRPr="00E10393">
        <w:rPr>
          <w:rStyle w:val="FootnoteReference"/>
          <w:rFonts w:ascii="Times New Roman" w:hAnsi="Times New Roman" w:cs="Times New Roman"/>
          <w:bCs/>
          <w:sz w:val="24"/>
          <w:szCs w:val="24"/>
        </w:rPr>
        <w:footnoteReference w:id="20"/>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Dilihat dari fungsinya, baptisan Roh Kudus berkaitan erat dengan keselamatan dan kesatuan gereja. Melalui baptisan ini, orang percaya dimasukkan ke dalam persekutuan Tubuh Kristus yang satu, terlepas dari latar belakang suku, budaya, atau status sosial. Sementara itu, kepenuhan Roh Kudus lebih berkaitan dengan kuasa pelayanan, keberanian dalam kesaksian, dan kesucian kehidupan sehari-hari. Kepenuhan menghasilkan buah Roh yang </w:t>
      </w:r>
      <w:r w:rsidRPr="00E10393">
        <w:rPr>
          <w:rFonts w:ascii="Times New Roman" w:hAnsi="Times New Roman" w:cs="Times New Roman"/>
          <w:bCs/>
          <w:sz w:val="24"/>
          <w:szCs w:val="24"/>
        </w:rPr>
        <w:lastRenderedPageBreak/>
        <w:t>nyata (Galatia 5:22-23), pemberitaan Firman yang berwibawa, serta kemampuan untuk menghad</w:t>
      </w:r>
      <w:r w:rsidR="00E10393" w:rsidRPr="00E10393">
        <w:rPr>
          <w:rFonts w:ascii="Times New Roman" w:hAnsi="Times New Roman" w:cs="Times New Roman"/>
          <w:bCs/>
          <w:sz w:val="24"/>
          <w:szCs w:val="24"/>
        </w:rPr>
        <w:t>api tantangan dan penganiayaan.</w:t>
      </w:r>
      <w:r w:rsidR="00E10393" w:rsidRPr="00E10393">
        <w:rPr>
          <w:rStyle w:val="FootnoteReference"/>
          <w:rFonts w:ascii="Times New Roman" w:hAnsi="Times New Roman" w:cs="Times New Roman"/>
          <w:bCs/>
          <w:sz w:val="24"/>
          <w:szCs w:val="24"/>
        </w:rPr>
        <w:footnoteReference w:id="21"/>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Meskipun terdapat perbedaan yang signifikan, kedua pengalaman ini tidak dapat dipisahkan secara mutlak. Dalam banyak peristiwa dalam Kisah Para Rasul, kepenuhan Roh Kudus pertama kali sering dialami hampir bersamaan dengan atau segera setelah baptisan Roh Kudus (misalnya pada hari Pentakosta dan di rumah Kornelius). Hal ini menunjukkan bahwa baptisan Roh Kudus menyediakan dasar yang kokoh, sementara kepenuhan Roh Kudus merupakan pengalaman yang membangun di atas dasar tersebut. Baptisan tanpa kepenuhan yang berkelanjutan dapat menjadi pengalaman masa lalu yang kurang berbuah, sedangkan kepenuhan yang terus-menerus tanpa pemahaman yang benar tentang baptisan Roh Kudus dapat menimbulkan</w:t>
      </w:r>
      <w:r w:rsidR="00E10393" w:rsidRPr="00E10393">
        <w:rPr>
          <w:rFonts w:ascii="Times New Roman" w:hAnsi="Times New Roman" w:cs="Times New Roman"/>
          <w:bCs/>
          <w:sz w:val="24"/>
          <w:szCs w:val="24"/>
        </w:rPr>
        <w:t xml:space="preserve"> subyektivisme yang berlebihan.</w:t>
      </w:r>
      <w:r w:rsidR="00E10393" w:rsidRPr="00E10393">
        <w:rPr>
          <w:rStyle w:val="FootnoteReference"/>
          <w:rFonts w:ascii="Times New Roman" w:hAnsi="Times New Roman" w:cs="Times New Roman"/>
          <w:bCs/>
          <w:sz w:val="24"/>
          <w:szCs w:val="24"/>
        </w:rPr>
        <w:footnoteReference w:id="22"/>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Dalam perspektif teologi Pentakosta klasik, baptisan Roh Kudus sering dipahami sebagai pengalaman rohani yang </w:t>
      </w:r>
      <w:r w:rsidRPr="00E10393">
        <w:rPr>
          <w:rFonts w:ascii="Times New Roman" w:hAnsi="Times New Roman" w:cs="Times New Roman"/>
          <w:bCs/>
          <w:i/>
          <w:iCs/>
          <w:sz w:val="24"/>
          <w:szCs w:val="24"/>
        </w:rPr>
        <w:t>distinct</w:t>
      </w:r>
      <w:r w:rsidRPr="00E10393">
        <w:rPr>
          <w:rFonts w:ascii="Times New Roman" w:hAnsi="Times New Roman" w:cs="Times New Roman"/>
          <w:bCs/>
          <w:sz w:val="24"/>
          <w:szCs w:val="24"/>
        </w:rPr>
        <w:t xml:space="preserve"> (terpisah) dari kelahiran baru, yang biasanya disertai dengan bukti awal berbahasa roh (</w:t>
      </w:r>
      <w:r w:rsidRPr="00E10393">
        <w:rPr>
          <w:rFonts w:ascii="Times New Roman" w:hAnsi="Times New Roman" w:cs="Times New Roman"/>
          <w:bCs/>
          <w:i/>
          <w:iCs/>
          <w:sz w:val="24"/>
          <w:szCs w:val="24"/>
        </w:rPr>
        <w:t>initial physical evidence</w:t>
      </w:r>
      <w:r w:rsidRPr="00E10393">
        <w:rPr>
          <w:rFonts w:ascii="Times New Roman" w:hAnsi="Times New Roman" w:cs="Times New Roman"/>
          <w:bCs/>
          <w:sz w:val="24"/>
          <w:szCs w:val="24"/>
        </w:rPr>
        <w:t>). Pengalaman ini dipandang sebagai “pemberian kuasa” (</w:t>
      </w:r>
      <w:r w:rsidRPr="00E10393">
        <w:rPr>
          <w:rFonts w:ascii="Times New Roman" w:hAnsi="Times New Roman" w:cs="Times New Roman"/>
          <w:bCs/>
          <w:i/>
          <w:iCs/>
          <w:sz w:val="24"/>
          <w:szCs w:val="24"/>
        </w:rPr>
        <w:t>endued with power</w:t>
      </w:r>
      <w:r w:rsidRPr="00E10393">
        <w:rPr>
          <w:rFonts w:ascii="Times New Roman" w:hAnsi="Times New Roman" w:cs="Times New Roman"/>
          <w:bCs/>
          <w:sz w:val="24"/>
          <w:szCs w:val="24"/>
        </w:rPr>
        <w:t>) untuk pelayanan.⁵ Sementara itu, dalam perspektif Evangelikal dan Reformed yang lebih luas, baptisan Roh Kudus diidentikkan dengan saat keselamatan, dan orang percaya diajak untuk terus mencari dan memelihara kepenuhan</w:t>
      </w:r>
      <w:r w:rsidR="00E10393" w:rsidRPr="00E10393">
        <w:rPr>
          <w:rFonts w:ascii="Times New Roman" w:hAnsi="Times New Roman" w:cs="Times New Roman"/>
          <w:bCs/>
          <w:sz w:val="24"/>
          <w:szCs w:val="24"/>
        </w:rPr>
        <w:t xml:space="preserve"> Roh Kudus seumur hidup mereka.</w:t>
      </w:r>
      <w:r w:rsidR="00E10393" w:rsidRPr="00E10393">
        <w:rPr>
          <w:rStyle w:val="FootnoteReference"/>
          <w:rFonts w:ascii="Times New Roman" w:hAnsi="Times New Roman" w:cs="Times New Roman"/>
          <w:bCs/>
          <w:sz w:val="24"/>
          <w:szCs w:val="24"/>
        </w:rPr>
        <w:footnoteReference w:id="23"/>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Kedua perspektif tersebut memiliki dasar Alkitab masing-masing. Namun, bahaya muncul ketika perbedaan pemahaman ini dijadikan alat untuk membagi gereja menjadi dua kelompok: “orang yang sudah dibaptis Roh Kudus” (dianggap lebih rohani) dan “orang yang belum” (dianggap kurang rohani). Alkitab sendiri tidak mendukung sikap seperti itu. Sebaliknya, Alkitab menekankan bahwa setiap orang percaya telah menerima Roh Kudus </w:t>
      </w:r>
      <w:r w:rsidRPr="00E10393">
        <w:rPr>
          <w:rFonts w:ascii="Times New Roman" w:hAnsi="Times New Roman" w:cs="Times New Roman"/>
          <w:bCs/>
          <w:sz w:val="24"/>
          <w:szCs w:val="24"/>
        </w:rPr>
        <w:lastRenderedPageBreak/>
        <w:t>(Roma 8:9) dan semua dipanggil untuk terus dipenuhi deng</w:t>
      </w:r>
      <w:r w:rsidR="00E10393" w:rsidRPr="00E10393">
        <w:rPr>
          <w:rFonts w:ascii="Times New Roman" w:hAnsi="Times New Roman" w:cs="Times New Roman"/>
          <w:bCs/>
          <w:sz w:val="24"/>
          <w:szCs w:val="24"/>
        </w:rPr>
        <w:t>an Roh yang sama (Efesus 5:18).</w:t>
      </w:r>
      <w:r w:rsidR="00E10393" w:rsidRPr="00E10393">
        <w:rPr>
          <w:rStyle w:val="FootnoteReference"/>
          <w:rFonts w:ascii="Times New Roman" w:hAnsi="Times New Roman" w:cs="Times New Roman"/>
          <w:bCs/>
          <w:sz w:val="24"/>
          <w:szCs w:val="24"/>
        </w:rPr>
        <w:footnoteReference w:id="24"/>
      </w:r>
    </w:p>
    <w:p w:rsidR="00F0225D" w:rsidRPr="00E10393" w:rsidRDefault="00F0225D"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Oleh karena itu, pendekatan yang paling sehat adalah mengakui kedua kebenaran Alkitab tersebut sekaligus: kita telah dibaptis dengan Roh Kudus pada saat kita diselamatkan, dan kita senantiasa perlu dipenuhi dengan Roh Kudus dalam kehidupan sehari-hari melalui penyerahan yang terus-menerus.</w:t>
      </w:r>
    </w:p>
    <w:p w:rsidR="00E10393" w:rsidRPr="00E10393" w:rsidRDefault="00E10393" w:rsidP="00822673">
      <w:pPr>
        <w:spacing w:line="276" w:lineRule="auto"/>
        <w:jc w:val="both"/>
        <w:rPr>
          <w:rFonts w:ascii="Times New Roman" w:hAnsi="Times New Roman" w:cs="Times New Roman"/>
          <w:b/>
          <w:bCs/>
          <w:sz w:val="24"/>
          <w:szCs w:val="24"/>
        </w:rPr>
      </w:pPr>
      <w:r w:rsidRPr="00E10393">
        <w:rPr>
          <w:rFonts w:ascii="Times New Roman" w:hAnsi="Times New Roman" w:cs="Times New Roman"/>
          <w:b/>
          <w:bCs/>
          <w:sz w:val="24"/>
          <w:szCs w:val="24"/>
        </w:rPr>
        <w:t>Kesimpulan</w:t>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Analisis biblika yang dilakukan dalam penelitian ini menegaskan bahwa Baptisan Roh Kudus dan Penuh dengan Roh Kudus merupakan dua realitas rohani yang sangat penting dalam kehidupan orang percaya, namun memiliki makna, sifat, dan fungsi yang berbeda.</w:t>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Baptisan Roh Kudus adalah karya inisiatif dan sekali untuk selamanya (</w:t>
      </w:r>
      <w:r w:rsidRPr="00E10393">
        <w:rPr>
          <w:rFonts w:ascii="Times New Roman" w:hAnsi="Times New Roman" w:cs="Times New Roman"/>
          <w:bCs/>
          <w:i/>
          <w:iCs/>
          <w:sz w:val="24"/>
          <w:szCs w:val="24"/>
        </w:rPr>
        <w:t>once-for-all</w:t>
      </w:r>
      <w:r w:rsidRPr="00E10393">
        <w:rPr>
          <w:rFonts w:ascii="Times New Roman" w:hAnsi="Times New Roman" w:cs="Times New Roman"/>
          <w:bCs/>
          <w:sz w:val="24"/>
          <w:szCs w:val="24"/>
        </w:rPr>
        <w:t>) dari Allah yang menempatkan setiap orang yang percaya kepada Yesus Kristus ke dalam Tubuh Kristus yang esa (1 Korintus 12:13). Melalui baptisan ini, Roh Kudus diberikan sebagai meterai kepemilikan Allah, jaminan warisan kekal, dan hak istimewa Perjanjian Baru yang tidak dimiliki oleh orang-orang di bawah Perjanjian Lama. Baptisan Roh Kudus merupakan bagian integral dari pengalaman keselamatan dan menjadi dasar posisional setiap orang percaya di dalam Kristus.</w:t>
      </w:r>
      <w:r w:rsidRPr="00E10393">
        <w:rPr>
          <w:rStyle w:val="FootnoteReference"/>
          <w:rFonts w:ascii="Times New Roman" w:hAnsi="Times New Roman" w:cs="Times New Roman"/>
          <w:bCs/>
          <w:sz w:val="24"/>
          <w:szCs w:val="24"/>
        </w:rPr>
        <w:footnoteReference w:id="25"/>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Sementara itu, Penuh dengan Roh Kudus merupakan pengalaman rohani yang dinamis, kondisional, dan progresif. Ia menggambarkan keadaan di mana Roh Kudus menguasai sepenuhnya pikiran, emosi, kehendak, dan perilaku orang percaya. Kepenuhan ini dapat dialami berulang kali sepanjang kehidupan orang percaya, tergantung pada tingkat penyerahan dan ketaatannya kepada pimpinan Roh Kudus (Efesus 5:18). Kepenuhan Roh Kudus menghasilkan kuasa untuk pelayanan, keberanian dalam kesaksian, buah Roh yang nyata, serta kemampuan untuk hidup kudus di tengah dunia.</w:t>
      </w:r>
      <w:r w:rsidRPr="00E10393">
        <w:rPr>
          <w:rStyle w:val="FootnoteReference"/>
          <w:rFonts w:ascii="Times New Roman" w:hAnsi="Times New Roman" w:cs="Times New Roman"/>
          <w:bCs/>
          <w:sz w:val="24"/>
          <w:szCs w:val="24"/>
        </w:rPr>
        <w:footnoteReference w:id="26"/>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lastRenderedPageBreak/>
        <w:t>Kedua realitas ini saling melengkapi dan tidak boleh dipisahkan. Tanpa baptisan Roh Kudus, tidak ada dasar yang kokoh bagi kepenuhan Roh Kudus yang sejati. Sebaliknya, tanpa kepenuhan Roh Kudus yang berkelanjutan, baptisan Roh Kudus hanya akan menjadi peristiwa historis di masa lalu yang kurang memiliki dampak transformasional dalam kehidupan sehari-hari. Baptisan memberikan posisi, sementara kepenuhan memberikan kuasa dan pengalaman. Keduanya bersama-sama membentuk kehidupan rohani yang utuh dan seimbang.</w:t>
      </w:r>
      <w:r w:rsidRPr="00E10393">
        <w:rPr>
          <w:rStyle w:val="FootnoteReference"/>
          <w:rFonts w:ascii="Times New Roman" w:hAnsi="Times New Roman" w:cs="Times New Roman"/>
          <w:bCs/>
          <w:sz w:val="24"/>
          <w:szCs w:val="24"/>
        </w:rPr>
        <w:footnoteReference w:id="27"/>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Berdasarkan kesimpulan tersebut, penelitian ini menyampaikan beberapa implikasi praktis yang penting bagi orang percaya masa kini:</w:t>
      </w:r>
    </w:p>
    <w:p w:rsidR="00E10393" w:rsidRPr="00E10393" w:rsidRDefault="00E10393" w:rsidP="00822673">
      <w:pPr>
        <w:numPr>
          <w:ilvl w:val="0"/>
          <w:numId w:val="5"/>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Setiap orang percaya diajak untuk mensyukuri baptisan Roh Kudus yang telah diterimanya sejak saat ia percaya dan diselamatkan oleh Kristus, karena itulah dasar identitas rohaninya sebagai anggota Tubuh Kristus.</w:t>
      </w:r>
    </w:p>
    <w:p w:rsidR="00E10393" w:rsidRPr="00E10393" w:rsidRDefault="00E10393" w:rsidP="00822673">
      <w:pPr>
        <w:numPr>
          <w:ilvl w:val="0"/>
          <w:numId w:val="5"/>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Setiap orang percaya perlu terus menyerahkan diri secara sadar dan berulang kali kepada Roh Kudus agar senantiasa dipenuhi dengan Roh, melalui doa yang tekun, pembacaan Firman, ketaatan, dan penyangkalan diri.</w:t>
      </w:r>
    </w:p>
    <w:p w:rsidR="00E10393" w:rsidRPr="00E10393" w:rsidRDefault="00E10393" w:rsidP="00822673">
      <w:pPr>
        <w:numPr>
          <w:ilvl w:val="0"/>
          <w:numId w:val="5"/>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Umat Tuhan perlu hidup dalam keseimbangan yang sehat antara doktrin yang benar dan pengalaman rohani yang autentik. Doktrin tanpa pengalaman akan kering, sementara pengalaman tanpa doktrin yang kuat akan mudah menyimpang.</w:t>
      </w:r>
    </w:p>
    <w:p w:rsidR="00E10393" w:rsidRPr="00E10393" w:rsidRDefault="00E10393" w:rsidP="00822673">
      <w:pPr>
        <w:numPr>
          <w:ilvl w:val="0"/>
          <w:numId w:val="5"/>
        </w:numPr>
        <w:spacing w:line="276" w:lineRule="auto"/>
        <w:jc w:val="both"/>
        <w:rPr>
          <w:rFonts w:ascii="Times New Roman" w:hAnsi="Times New Roman" w:cs="Times New Roman"/>
          <w:bCs/>
          <w:sz w:val="24"/>
          <w:szCs w:val="24"/>
        </w:rPr>
      </w:pPr>
      <w:r w:rsidRPr="00E10393">
        <w:rPr>
          <w:rFonts w:ascii="Times New Roman" w:hAnsi="Times New Roman" w:cs="Times New Roman"/>
          <w:bCs/>
          <w:sz w:val="24"/>
          <w:szCs w:val="24"/>
        </w:rPr>
        <w:t>Kepenuhan Roh Kudus harus diarahkan bukan hanya untuk kepuasan pribadi, melainkan terutama untuk kemuliaan Allah dan perluasan Kerajaan-Nya, yaitu melalui pelayanan yang efektif dan kesaksian yang berkuasa di tengah masyarakat.</w:t>
      </w:r>
      <w:r w:rsidRPr="00E10393">
        <w:rPr>
          <w:rStyle w:val="FootnoteReference"/>
          <w:rFonts w:ascii="Times New Roman" w:hAnsi="Times New Roman" w:cs="Times New Roman"/>
          <w:bCs/>
          <w:sz w:val="24"/>
          <w:szCs w:val="24"/>
        </w:rPr>
        <w:footnoteReference w:id="28"/>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 xml:space="preserve">Penelitian ini juga mendorong adanya dialog antar denominasi yang lebih konstruktif dan rendah hati. Perbedaan pemahaman mengenai baptisan dan kepenuhan Roh Kudus tidak boleh lagi dijadikan alat untuk saling </w:t>
      </w:r>
      <w:r w:rsidRPr="00E10393">
        <w:rPr>
          <w:rFonts w:ascii="Times New Roman" w:hAnsi="Times New Roman" w:cs="Times New Roman"/>
          <w:bCs/>
          <w:sz w:val="24"/>
          <w:szCs w:val="24"/>
        </w:rPr>
        <w:lastRenderedPageBreak/>
        <w:t>menghakimi atau membagi gereja. Sebaliknya, semua pihak harus kembali kepada otoritas Alkitab sebagai dasar utama, sambil saling belajar dan saling melengkapi dalam kasih.</w:t>
      </w:r>
      <w:r w:rsidRPr="00E10393">
        <w:rPr>
          <w:rStyle w:val="FootnoteReference"/>
          <w:rFonts w:ascii="Times New Roman" w:hAnsi="Times New Roman" w:cs="Times New Roman"/>
          <w:bCs/>
          <w:sz w:val="24"/>
          <w:szCs w:val="24"/>
        </w:rPr>
        <w:footnoteReference w:id="29"/>
      </w:r>
    </w:p>
    <w:p w:rsidR="00E10393" w:rsidRPr="00E10393" w:rsidRDefault="00E10393" w:rsidP="00822673">
      <w:pPr>
        <w:spacing w:line="276" w:lineRule="auto"/>
        <w:ind w:firstLine="720"/>
        <w:jc w:val="both"/>
        <w:rPr>
          <w:rFonts w:ascii="Times New Roman" w:hAnsi="Times New Roman" w:cs="Times New Roman"/>
          <w:bCs/>
          <w:sz w:val="24"/>
          <w:szCs w:val="24"/>
        </w:rPr>
      </w:pPr>
      <w:r w:rsidRPr="00E10393">
        <w:rPr>
          <w:rFonts w:ascii="Times New Roman" w:hAnsi="Times New Roman" w:cs="Times New Roman"/>
          <w:bCs/>
          <w:sz w:val="24"/>
          <w:szCs w:val="24"/>
        </w:rPr>
        <w:t>Akhirnya, seperti yang dilakukan oleh gereja mula-mula di tengah ancaman dan tekanan, marilah kita semua senantiasa berdoa dengan kerendahan hati:</w:t>
      </w:r>
      <w:r>
        <w:rPr>
          <w:rFonts w:ascii="Times New Roman" w:hAnsi="Times New Roman" w:cs="Times New Roman"/>
          <w:bCs/>
          <w:sz w:val="24"/>
          <w:szCs w:val="24"/>
        </w:rPr>
        <w:t xml:space="preserve"> </w:t>
      </w:r>
      <w:r w:rsidRPr="00E10393">
        <w:rPr>
          <w:rFonts w:ascii="Times New Roman" w:hAnsi="Times New Roman" w:cs="Times New Roman"/>
          <w:bCs/>
          <w:sz w:val="24"/>
          <w:szCs w:val="24"/>
        </w:rPr>
        <w:t>“Ya Tuhan, perhatikanlah ancaman mereka, dan berilah kepada hamba-hamba-Mu keberanian untuk memberitakan firman-Mu dengan segala kelimpahan, sementara Engkau mengulurkan tangan-Mu untuk menyembuhkan orang, dan untuk mengadakan tanda-tanda dan mujizat-mujizat oleh nama Yesus, Hamba-Mu yang kudus.” “Dan setelah mereka berdoa, maka bergoyanglah tempat mereka berkumpul itu, dan mereka semua dipenuhi dengan Roh Kudus dan memberitakan firman Allah dengan berani.” (Kisah Para Rasul 4:29-31)</w:t>
      </w:r>
      <w:r>
        <w:rPr>
          <w:rFonts w:ascii="Times New Roman" w:hAnsi="Times New Roman" w:cs="Times New Roman"/>
          <w:bCs/>
          <w:sz w:val="24"/>
          <w:szCs w:val="24"/>
        </w:rPr>
        <w:t xml:space="preserve"> </w:t>
      </w:r>
      <w:r w:rsidRPr="00E10393">
        <w:rPr>
          <w:rFonts w:ascii="Times New Roman" w:hAnsi="Times New Roman" w:cs="Times New Roman"/>
          <w:bCs/>
          <w:sz w:val="24"/>
          <w:szCs w:val="24"/>
        </w:rPr>
        <w:t>Semoga analisis biblika ini dapat menjadi berkat dan membawa umat Tuhan kepada pengenalan yang lebih dalam akan pekerjaan Roh Kudus di zaman ini.</w:t>
      </w:r>
    </w:p>
    <w:p w:rsidR="00E10393" w:rsidRPr="00E10393" w:rsidRDefault="00E10393" w:rsidP="00822673">
      <w:pPr>
        <w:spacing w:line="276" w:lineRule="auto"/>
        <w:jc w:val="both"/>
        <w:rPr>
          <w:rFonts w:ascii="Times New Roman" w:hAnsi="Times New Roman" w:cs="Times New Roman"/>
          <w:sz w:val="24"/>
          <w:szCs w:val="24"/>
        </w:rPr>
      </w:pPr>
      <w:r w:rsidRPr="00E10393">
        <w:rPr>
          <w:rFonts w:ascii="Times New Roman" w:hAnsi="Times New Roman" w:cs="Times New Roman"/>
          <w:b/>
          <w:bCs/>
          <w:sz w:val="24"/>
          <w:szCs w:val="24"/>
        </w:rPr>
        <w:t>Daftar Pustaka</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Arnold, Clinton E. </w:t>
      </w:r>
      <w:r w:rsidRPr="00E10393">
        <w:rPr>
          <w:rFonts w:ascii="Times New Roman" w:hAnsi="Times New Roman" w:cs="Times New Roman"/>
          <w:i/>
          <w:iCs/>
          <w:sz w:val="24"/>
          <w:szCs w:val="24"/>
        </w:rPr>
        <w:t>Ephesians</w:t>
      </w:r>
      <w:r w:rsidRPr="00E10393">
        <w:rPr>
          <w:rFonts w:ascii="Times New Roman" w:hAnsi="Times New Roman" w:cs="Times New Roman"/>
          <w:sz w:val="24"/>
          <w:szCs w:val="24"/>
        </w:rPr>
        <w:t>. Zondervan Exegetical Commentary on the New Testament. Grand Rapids: Zondervan, 2010.</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Bauer, Walter, Frederick W. Danker, William F. Arndt, and F. Wilbur Gingrich. </w:t>
      </w:r>
      <w:r w:rsidRPr="00E10393">
        <w:rPr>
          <w:rFonts w:ascii="Times New Roman" w:hAnsi="Times New Roman" w:cs="Times New Roman"/>
          <w:i/>
          <w:iCs/>
          <w:sz w:val="24"/>
          <w:szCs w:val="24"/>
        </w:rPr>
        <w:t>A Greek-English Lexicon of the New Testament and Other Early Christian Literature</w:t>
      </w:r>
      <w:r w:rsidRPr="00E10393">
        <w:rPr>
          <w:rFonts w:ascii="Times New Roman" w:hAnsi="Times New Roman" w:cs="Times New Roman"/>
          <w:sz w:val="24"/>
          <w:szCs w:val="24"/>
        </w:rPr>
        <w:t>. 3rd ed. Chicago: University of Chicago Press, 2000.</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Brand, Chad Owen, ed. </w:t>
      </w:r>
      <w:r w:rsidRPr="00E10393">
        <w:rPr>
          <w:rFonts w:ascii="Times New Roman" w:hAnsi="Times New Roman" w:cs="Times New Roman"/>
          <w:i/>
          <w:iCs/>
          <w:sz w:val="24"/>
          <w:szCs w:val="24"/>
        </w:rPr>
        <w:t>Perspectives on Spirit Baptism: Five Views</w:t>
      </w:r>
      <w:r w:rsidRPr="00E10393">
        <w:rPr>
          <w:rFonts w:ascii="Times New Roman" w:hAnsi="Times New Roman" w:cs="Times New Roman"/>
          <w:sz w:val="24"/>
          <w:szCs w:val="24"/>
        </w:rPr>
        <w:t>. Nashville: B&amp;H Academic, 2004.</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Bruce, F.F. </w:t>
      </w:r>
      <w:r w:rsidRPr="00E10393">
        <w:rPr>
          <w:rFonts w:ascii="Times New Roman" w:hAnsi="Times New Roman" w:cs="Times New Roman"/>
          <w:i/>
          <w:iCs/>
          <w:sz w:val="24"/>
          <w:szCs w:val="24"/>
        </w:rPr>
        <w:t>The Book of the Acts</w:t>
      </w:r>
      <w:r w:rsidRPr="00E10393">
        <w:rPr>
          <w:rFonts w:ascii="Times New Roman" w:hAnsi="Times New Roman" w:cs="Times New Roman"/>
          <w:sz w:val="24"/>
          <w:szCs w:val="24"/>
        </w:rPr>
        <w:t>. NICNT. Revised Edition. Grand Rapids: Eerdmans, 1988.</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Bruner, Frederick Dale. </w:t>
      </w:r>
      <w:r w:rsidRPr="00E10393">
        <w:rPr>
          <w:rFonts w:ascii="Times New Roman" w:hAnsi="Times New Roman" w:cs="Times New Roman"/>
          <w:i/>
          <w:iCs/>
          <w:sz w:val="24"/>
          <w:szCs w:val="24"/>
        </w:rPr>
        <w:t>A Theology of the Holy Spirit: The Pentecostal Experience and the New Testament Witness</w:t>
      </w:r>
      <w:r w:rsidRPr="00E10393">
        <w:rPr>
          <w:rFonts w:ascii="Times New Roman" w:hAnsi="Times New Roman" w:cs="Times New Roman"/>
          <w:sz w:val="24"/>
          <w:szCs w:val="24"/>
        </w:rPr>
        <w:t>. Grand Rapids: Eerdmans, 1970.</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lastRenderedPageBreak/>
        <w:t xml:space="preserve">Carson, Donald A. </w:t>
      </w:r>
      <w:r w:rsidRPr="00E10393">
        <w:rPr>
          <w:rFonts w:ascii="Times New Roman" w:hAnsi="Times New Roman" w:cs="Times New Roman"/>
          <w:i/>
          <w:iCs/>
          <w:sz w:val="24"/>
          <w:szCs w:val="24"/>
        </w:rPr>
        <w:t>Matthew</w:t>
      </w:r>
      <w:r w:rsidRPr="00E10393">
        <w:rPr>
          <w:rFonts w:ascii="Times New Roman" w:hAnsi="Times New Roman" w:cs="Times New Roman"/>
          <w:sz w:val="24"/>
          <w:szCs w:val="24"/>
        </w:rPr>
        <w:t>. The Expositor’s Bible Commentary. Vol. 8. Grand Rapids: Zondervan, 1984.</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Dunn, James D.G. </w:t>
      </w:r>
      <w:r w:rsidRPr="00E10393">
        <w:rPr>
          <w:rFonts w:ascii="Times New Roman" w:hAnsi="Times New Roman" w:cs="Times New Roman"/>
          <w:i/>
          <w:iCs/>
          <w:sz w:val="24"/>
          <w:szCs w:val="24"/>
        </w:rPr>
        <w:t>Baptism in the Holy Spirit: A Re-examination of the New Testament Teaching on the Gift of the Spirit in Relation to Pentecostalism Today</w:t>
      </w:r>
      <w:r w:rsidRPr="00E10393">
        <w:rPr>
          <w:rFonts w:ascii="Times New Roman" w:hAnsi="Times New Roman" w:cs="Times New Roman"/>
          <w:sz w:val="24"/>
          <w:szCs w:val="24"/>
        </w:rPr>
        <w:t>. London: SCM Press, 1970.</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Erickson, Millard J. </w:t>
      </w:r>
      <w:r w:rsidRPr="00E10393">
        <w:rPr>
          <w:rFonts w:ascii="Times New Roman" w:hAnsi="Times New Roman" w:cs="Times New Roman"/>
          <w:i/>
          <w:iCs/>
          <w:sz w:val="24"/>
          <w:szCs w:val="24"/>
        </w:rPr>
        <w:t>Christian Theology</w:t>
      </w:r>
      <w:r w:rsidRPr="00E10393">
        <w:rPr>
          <w:rFonts w:ascii="Times New Roman" w:hAnsi="Times New Roman" w:cs="Times New Roman"/>
          <w:sz w:val="24"/>
          <w:szCs w:val="24"/>
        </w:rPr>
        <w:t>. 3rd ed. Grand Rapids: Baker Academic, 2013.</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Fee, Gordon D. </w:t>
      </w:r>
      <w:r w:rsidRPr="00E10393">
        <w:rPr>
          <w:rFonts w:ascii="Times New Roman" w:hAnsi="Times New Roman" w:cs="Times New Roman"/>
          <w:i/>
          <w:iCs/>
          <w:sz w:val="24"/>
          <w:szCs w:val="24"/>
        </w:rPr>
        <w:t>The First Epistle to the Corinthians</w:t>
      </w:r>
      <w:r w:rsidRPr="00E10393">
        <w:rPr>
          <w:rFonts w:ascii="Times New Roman" w:hAnsi="Times New Roman" w:cs="Times New Roman"/>
          <w:sz w:val="24"/>
          <w:szCs w:val="24"/>
        </w:rPr>
        <w:t>. NICNT. Grand Rapids: Eerdmans, 1987.</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Fee, Gordon D. </w:t>
      </w:r>
      <w:r w:rsidRPr="00E10393">
        <w:rPr>
          <w:rFonts w:ascii="Times New Roman" w:hAnsi="Times New Roman" w:cs="Times New Roman"/>
          <w:i/>
          <w:iCs/>
          <w:sz w:val="24"/>
          <w:szCs w:val="24"/>
        </w:rPr>
        <w:t>God’s Empowering Presence: The Holy Spirit in the Letters of Paul</w:t>
      </w:r>
      <w:r w:rsidRPr="00E10393">
        <w:rPr>
          <w:rFonts w:ascii="Times New Roman" w:hAnsi="Times New Roman" w:cs="Times New Roman"/>
          <w:sz w:val="24"/>
          <w:szCs w:val="24"/>
        </w:rPr>
        <w:t>. Peabody: Hendrickson Publishers, 1994.</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Hoehner, Harold W. </w:t>
      </w:r>
      <w:r w:rsidRPr="00E10393">
        <w:rPr>
          <w:rFonts w:ascii="Times New Roman" w:hAnsi="Times New Roman" w:cs="Times New Roman"/>
          <w:i/>
          <w:iCs/>
          <w:sz w:val="24"/>
          <w:szCs w:val="24"/>
        </w:rPr>
        <w:t>Ephesians: An Exegetical Commentary</w:t>
      </w:r>
      <w:r w:rsidRPr="00E10393">
        <w:rPr>
          <w:rFonts w:ascii="Times New Roman" w:hAnsi="Times New Roman" w:cs="Times New Roman"/>
          <w:sz w:val="24"/>
          <w:szCs w:val="24"/>
        </w:rPr>
        <w:t>. Grand Rapids: Baker Academic, 2002.</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Hoekema, Anthony A. </w:t>
      </w:r>
      <w:r w:rsidRPr="00E10393">
        <w:rPr>
          <w:rFonts w:ascii="Times New Roman" w:hAnsi="Times New Roman" w:cs="Times New Roman"/>
          <w:i/>
          <w:iCs/>
          <w:sz w:val="24"/>
          <w:szCs w:val="24"/>
        </w:rPr>
        <w:t>Holy Spirit Baptism</w:t>
      </w:r>
      <w:r w:rsidRPr="00E10393">
        <w:rPr>
          <w:rFonts w:ascii="Times New Roman" w:hAnsi="Times New Roman" w:cs="Times New Roman"/>
          <w:sz w:val="24"/>
          <w:szCs w:val="24"/>
        </w:rPr>
        <w:t>. Grand Rapids: Eerdmans, 1972.</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Horton, Stanley M. “The Pentecostal Perspective.” Dalam </w:t>
      </w:r>
      <w:r w:rsidRPr="00E10393">
        <w:rPr>
          <w:rFonts w:ascii="Times New Roman" w:hAnsi="Times New Roman" w:cs="Times New Roman"/>
          <w:i/>
          <w:iCs/>
          <w:sz w:val="24"/>
          <w:szCs w:val="24"/>
        </w:rPr>
        <w:t>Perspectives on Spirit Baptism: Five Views</w:t>
      </w:r>
      <w:r w:rsidRPr="00E10393">
        <w:rPr>
          <w:rFonts w:ascii="Times New Roman" w:hAnsi="Times New Roman" w:cs="Times New Roman"/>
          <w:sz w:val="24"/>
          <w:szCs w:val="24"/>
        </w:rPr>
        <w:t>, diedit oleh Chad Owen Brand, 47-85. Nashville: B&amp;H Academic, 2004.</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Polhill, John B. </w:t>
      </w:r>
      <w:r w:rsidRPr="00E10393">
        <w:rPr>
          <w:rFonts w:ascii="Times New Roman" w:hAnsi="Times New Roman" w:cs="Times New Roman"/>
          <w:i/>
          <w:iCs/>
          <w:sz w:val="24"/>
          <w:szCs w:val="24"/>
        </w:rPr>
        <w:t>Acts</w:t>
      </w:r>
      <w:r w:rsidRPr="00E10393">
        <w:rPr>
          <w:rFonts w:ascii="Times New Roman" w:hAnsi="Times New Roman" w:cs="Times New Roman"/>
          <w:sz w:val="24"/>
          <w:szCs w:val="24"/>
        </w:rPr>
        <w:t>. The New American Commentary. Vol. 26. Nashville: Broadman &amp; Holman, 1992.</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Stott, John R.W. </w:t>
      </w:r>
      <w:r w:rsidRPr="00E10393">
        <w:rPr>
          <w:rFonts w:ascii="Times New Roman" w:hAnsi="Times New Roman" w:cs="Times New Roman"/>
          <w:i/>
          <w:iCs/>
          <w:sz w:val="24"/>
          <w:szCs w:val="24"/>
        </w:rPr>
        <w:t>The Message of Acts</w:t>
      </w:r>
      <w:r w:rsidRPr="00E10393">
        <w:rPr>
          <w:rFonts w:ascii="Times New Roman" w:hAnsi="Times New Roman" w:cs="Times New Roman"/>
          <w:sz w:val="24"/>
          <w:szCs w:val="24"/>
        </w:rPr>
        <w:t>. The Bible Speaks Today. Downers Grove: InterVarsity Press, 1990.</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Stott, John R.W. </w:t>
      </w:r>
      <w:r w:rsidRPr="00E10393">
        <w:rPr>
          <w:rFonts w:ascii="Times New Roman" w:hAnsi="Times New Roman" w:cs="Times New Roman"/>
          <w:i/>
          <w:iCs/>
          <w:sz w:val="24"/>
          <w:szCs w:val="24"/>
        </w:rPr>
        <w:t>Baptism and Fullness: The Work of the Holy Spirit Today</w:t>
      </w:r>
      <w:r w:rsidRPr="00E10393">
        <w:rPr>
          <w:rFonts w:ascii="Times New Roman" w:hAnsi="Times New Roman" w:cs="Times New Roman"/>
          <w:sz w:val="24"/>
          <w:szCs w:val="24"/>
        </w:rPr>
        <w:t>. 2nd ed. Downers Grove: InterVarsity Press, 2006.</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Thiselton, Anthony C. </w:t>
      </w:r>
      <w:r w:rsidRPr="00E10393">
        <w:rPr>
          <w:rFonts w:ascii="Times New Roman" w:hAnsi="Times New Roman" w:cs="Times New Roman"/>
          <w:i/>
          <w:iCs/>
          <w:sz w:val="24"/>
          <w:szCs w:val="24"/>
        </w:rPr>
        <w:t>The First Epistle to the Corinthians</w:t>
      </w:r>
      <w:r w:rsidRPr="00E10393">
        <w:rPr>
          <w:rFonts w:ascii="Times New Roman" w:hAnsi="Times New Roman" w:cs="Times New Roman"/>
          <w:sz w:val="24"/>
          <w:szCs w:val="24"/>
        </w:rPr>
        <w:t>. NIGTC. Grand Rapids: Eerdmans, 2000.</w:t>
      </w:r>
    </w:p>
    <w:p w:rsidR="00E10393" w:rsidRPr="00E10393" w:rsidRDefault="00E10393" w:rsidP="00822673">
      <w:pPr>
        <w:spacing w:line="276" w:lineRule="auto"/>
        <w:ind w:left="1418" w:hanging="567"/>
        <w:jc w:val="both"/>
        <w:rPr>
          <w:rFonts w:ascii="Times New Roman" w:hAnsi="Times New Roman" w:cs="Times New Roman"/>
          <w:sz w:val="24"/>
          <w:szCs w:val="24"/>
        </w:rPr>
      </w:pPr>
      <w:r w:rsidRPr="00E10393">
        <w:rPr>
          <w:rFonts w:ascii="Times New Roman" w:hAnsi="Times New Roman" w:cs="Times New Roman"/>
          <w:sz w:val="24"/>
          <w:szCs w:val="24"/>
        </w:rPr>
        <w:t xml:space="preserve">Turner, Max. </w:t>
      </w:r>
      <w:r w:rsidRPr="00E10393">
        <w:rPr>
          <w:rFonts w:ascii="Times New Roman" w:hAnsi="Times New Roman" w:cs="Times New Roman"/>
          <w:i/>
          <w:iCs/>
          <w:sz w:val="24"/>
          <w:szCs w:val="24"/>
        </w:rPr>
        <w:t>Power from on High: The Spirit in Israel’s Restoration and Witness in Luke-Acts</w:t>
      </w:r>
      <w:r w:rsidRPr="00E10393">
        <w:rPr>
          <w:rFonts w:ascii="Times New Roman" w:hAnsi="Times New Roman" w:cs="Times New Roman"/>
          <w:sz w:val="24"/>
          <w:szCs w:val="24"/>
        </w:rPr>
        <w:t>. Sheffield: Sheffield Academic Press, 1996.</w:t>
      </w:r>
    </w:p>
    <w:sectPr w:rsidR="00E10393" w:rsidRPr="00E10393" w:rsidSect="00822673">
      <w:headerReference w:type="even" r:id="rId8"/>
      <w:headerReference w:type="default" r:id="rId9"/>
      <w:footerReference w:type="even" r:id="rId10"/>
      <w:footerReference w:type="default" r:id="rId11"/>
      <w:headerReference w:type="first" r:id="rId12"/>
      <w:footerReference w:type="first" r:id="rId13"/>
      <w:pgSz w:w="10318" w:h="14570" w:code="13"/>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C21" w:rsidRDefault="00406C21" w:rsidP="00326C1F">
      <w:pPr>
        <w:spacing w:after="0" w:line="240" w:lineRule="auto"/>
      </w:pPr>
      <w:r>
        <w:separator/>
      </w:r>
    </w:p>
  </w:endnote>
  <w:endnote w:type="continuationSeparator" w:id="0">
    <w:p w:rsidR="00406C21" w:rsidRDefault="00406C21" w:rsidP="00326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E0D" w:rsidRDefault="00EB6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386049"/>
      <w:docPartObj>
        <w:docPartGallery w:val="Page Numbers (Bottom of Page)"/>
        <w:docPartUnique/>
      </w:docPartObj>
    </w:sdtPr>
    <w:sdtEndPr>
      <w:rPr>
        <w:noProof/>
      </w:rPr>
    </w:sdtEndPr>
    <w:sdtContent>
      <w:p w:rsidR="00822673" w:rsidRDefault="00822673">
        <w:pPr>
          <w:pStyle w:val="Footer"/>
          <w:jc w:val="center"/>
        </w:pPr>
        <w:r>
          <w:fldChar w:fldCharType="begin"/>
        </w:r>
        <w:r>
          <w:instrText xml:space="preserve"> PAGE   \* MERGEFORMAT </w:instrText>
        </w:r>
        <w:r>
          <w:fldChar w:fldCharType="separate"/>
        </w:r>
        <w:r w:rsidR="00EB6E0D">
          <w:rPr>
            <w:noProof/>
          </w:rPr>
          <w:t>1</w:t>
        </w:r>
        <w:r>
          <w:rPr>
            <w:noProof/>
          </w:rPr>
          <w:fldChar w:fldCharType="end"/>
        </w:r>
      </w:p>
    </w:sdtContent>
  </w:sdt>
  <w:p w:rsidR="00822673" w:rsidRDefault="008226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E0D" w:rsidRDefault="00EB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C21" w:rsidRDefault="00406C21" w:rsidP="00326C1F">
      <w:pPr>
        <w:spacing w:after="0" w:line="240" w:lineRule="auto"/>
      </w:pPr>
      <w:r>
        <w:separator/>
      </w:r>
    </w:p>
  </w:footnote>
  <w:footnote w:type="continuationSeparator" w:id="0">
    <w:p w:rsidR="00406C21" w:rsidRDefault="00406C21" w:rsidP="00326C1F">
      <w:pPr>
        <w:spacing w:after="0" w:line="240" w:lineRule="auto"/>
      </w:pPr>
      <w:r>
        <w:continuationSeparator/>
      </w:r>
    </w:p>
  </w:footnote>
  <w:footnote w:id="1">
    <w:p w:rsidR="00326C1F" w:rsidRDefault="00326C1F" w:rsidP="00326C1F">
      <w:pPr>
        <w:pStyle w:val="FootnoteText"/>
        <w:ind w:firstLine="720"/>
      </w:pPr>
      <w:r>
        <w:rPr>
          <w:rStyle w:val="FootnoteReference"/>
        </w:rPr>
        <w:footnoteRef/>
      </w:r>
      <w:r w:rsidRPr="00326C1F">
        <w:t>John R.W. Stott, Baptism and Fullness: The Work of the Holy Spirit Today (Downers Grove: InterVarsity Press, 2006), 15-32.</w:t>
      </w:r>
    </w:p>
  </w:footnote>
  <w:footnote w:id="2">
    <w:p w:rsidR="00326C1F" w:rsidRDefault="00326C1F" w:rsidP="00326C1F">
      <w:pPr>
        <w:pStyle w:val="FootnoteText"/>
        <w:ind w:firstLine="720"/>
      </w:pPr>
      <w:r>
        <w:rPr>
          <w:rStyle w:val="FootnoteReference"/>
        </w:rPr>
        <w:footnoteRef/>
      </w:r>
      <w:r w:rsidRPr="00326C1F">
        <w:t>Stanley M. Horton, “The Pentecostal Perspective,” dalam Perspectives on Spirit Baptism: Five Views, ed. Chad Owen Brand (Nashville: B&amp;H Academic, 2004), 47-85.</w:t>
      </w:r>
    </w:p>
  </w:footnote>
  <w:footnote w:id="3">
    <w:p w:rsidR="00326C1F" w:rsidRDefault="00326C1F" w:rsidP="00326C1F">
      <w:pPr>
        <w:pStyle w:val="FootnoteText"/>
        <w:ind w:firstLine="720"/>
      </w:pPr>
      <w:r>
        <w:rPr>
          <w:rStyle w:val="FootnoteReference"/>
        </w:rPr>
        <w:footnoteRef/>
      </w:r>
      <w:r w:rsidRPr="00326C1F">
        <w:t>Gordon D. Fee, God’s Empowering Presence: The Holy Spirit in the Letters of Paul (Peabody: Hendrickson, 1994), 860-865.</w:t>
      </w:r>
    </w:p>
  </w:footnote>
  <w:footnote w:id="4">
    <w:p w:rsidR="00326C1F" w:rsidRDefault="00326C1F" w:rsidP="00326C1F">
      <w:pPr>
        <w:pStyle w:val="FootnoteText"/>
        <w:ind w:firstLine="720"/>
      </w:pPr>
      <w:r>
        <w:rPr>
          <w:rStyle w:val="FootnoteReference"/>
        </w:rPr>
        <w:footnoteRef/>
      </w:r>
      <w:r w:rsidRPr="00326C1F">
        <w:t xml:space="preserve">Frederick Dale Bruner, </w:t>
      </w:r>
      <w:r w:rsidRPr="00326C1F">
        <w:rPr>
          <w:i/>
          <w:iCs/>
        </w:rPr>
        <w:t>A Theology of the Holy Spirit: The Pentecostal Experience and the New Testament Witness</w:t>
      </w:r>
      <w:r w:rsidRPr="00326C1F">
        <w:t xml:space="preserve"> (Grand Rapids: Eerdmans, 1970), 31-45.</w:t>
      </w:r>
    </w:p>
  </w:footnote>
  <w:footnote w:id="5">
    <w:p w:rsidR="00326C1F" w:rsidRDefault="00326C1F" w:rsidP="00326C1F">
      <w:pPr>
        <w:pStyle w:val="FootnoteText"/>
        <w:ind w:firstLine="720"/>
      </w:pPr>
      <w:r>
        <w:rPr>
          <w:rStyle w:val="FootnoteReference"/>
        </w:rPr>
        <w:footnoteRef/>
      </w:r>
      <w:r w:rsidRPr="00326C1F">
        <w:t>Walter Bauer, Frederick W. Danker, William F. Arndt, and F. Wilbur Gingrich, A Greek-English Lexicon of the New Testament and Other Early Christian Literature, 3rd ed. (Chicago: University of Chicago Press, 2000), 164-165, 827-829.</w:t>
      </w:r>
    </w:p>
  </w:footnote>
  <w:footnote w:id="6">
    <w:p w:rsidR="00326C1F" w:rsidRDefault="00326C1F" w:rsidP="00326C1F">
      <w:pPr>
        <w:pStyle w:val="FootnoteText"/>
        <w:ind w:firstLine="720"/>
      </w:pPr>
      <w:r>
        <w:rPr>
          <w:rStyle w:val="FootnoteReference"/>
        </w:rPr>
        <w:footnoteRef/>
      </w:r>
      <w:r w:rsidRPr="00326C1F">
        <w:t>Gordon D. Fee, God’s Empowering Presence: The Holy Spirit in the Letters of Paul (Peabody: Hendrickson Publishers, 1994), 112-145.</w:t>
      </w:r>
    </w:p>
  </w:footnote>
  <w:footnote w:id="7">
    <w:p w:rsidR="00326C1F" w:rsidRDefault="00326C1F" w:rsidP="00326C1F">
      <w:pPr>
        <w:pStyle w:val="FootnoteText"/>
        <w:ind w:firstLine="720"/>
      </w:pPr>
      <w:r>
        <w:rPr>
          <w:rStyle w:val="FootnoteReference"/>
        </w:rPr>
        <w:footnoteRef/>
      </w:r>
      <w:r w:rsidRPr="00326C1F">
        <w:t>Millard J. Erickson, Christian Theology, 3rd ed. (Grand Rapids: Baker Academic, 2013), 78-82.</w:t>
      </w:r>
    </w:p>
  </w:footnote>
  <w:footnote w:id="8">
    <w:p w:rsidR="00326C1F" w:rsidRDefault="00326C1F" w:rsidP="00326C1F">
      <w:pPr>
        <w:pStyle w:val="FootnoteText"/>
        <w:ind w:firstLine="720"/>
      </w:pPr>
      <w:r>
        <w:rPr>
          <w:rStyle w:val="FootnoteReference"/>
        </w:rPr>
        <w:footnoteRef/>
      </w:r>
      <w:r w:rsidRPr="00326C1F">
        <w:t>Chad Owen Brand, ed., Perspectives on Spirit Baptism: Five Views (Nashville: B&amp;H Academic, 2004), 1-12.</w:t>
      </w:r>
    </w:p>
  </w:footnote>
  <w:footnote w:id="9">
    <w:p w:rsidR="00F0225D" w:rsidRDefault="00F0225D" w:rsidP="00F0225D">
      <w:pPr>
        <w:pStyle w:val="FootnoteText"/>
        <w:ind w:firstLine="720"/>
      </w:pPr>
      <w:r>
        <w:rPr>
          <w:rStyle w:val="FootnoteReference"/>
        </w:rPr>
        <w:footnoteRef/>
      </w:r>
      <w:r w:rsidRPr="00F0225D">
        <w:t>Donald A. Carson, Matthew, The Expositor’s Bible Commentary, Vol. 8 (Grand Rapids: Zondervan, 1984), 104-106.</w:t>
      </w:r>
    </w:p>
  </w:footnote>
  <w:footnote w:id="10">
    <w:p w:rsidR="00F0225D" w:rsidRDefault="00F0225D" w:rsidP="00F0225D">
      <w:pPr>
        <w:pStyle w:val="FootnoteText"/>
        <w:ind w:firstLine="720"/>
      </w:pPr>
      <w:r>
        <w:rPr>
          <w:rStyle w:val="FootnoteReference"/>
        </w:rPr>
        <w:footnoteRef/>
      </w:r>
      <w:r w:rsidRPr="00F0225D">
        <w:t>Gordon D. Fee, The First Epistle to the Corinthians, NICNT (Grand Rapids: Eerdmans, 1987), 602-606</w:t>
      </w:r>
    </w:p>
  </w:footnote>
  <w:footnote w:id="11">
    <w:p w:rsidR="00F0225D" w:rsidRDefault="00F0225D" w:rsidP="00F0225D">
      <w:pPr>
        <w:pStyle w:val="FootnoteText"/>
        <w:ind w:firstLine="720"/>
      </w:pPr>
      <w:r>
        <w:rPr>
          <w:rStyle w:val="FootnoteReference"/>
        </w:rPr>
        <w:footnoteRef/>
      </w:r>
      <w:r w:rsidRPr="00F0225D">
        <w:t>F.F. Bruce, The Book of the Acts, NICNT (Grand Rapids: Eerdmans, 1988), 51-55.</w:t>
      </w:r>
    </w:p>
  </w:footnote>
  <w:footnote w:id="12">
    <w:p w:rsidR="00F0225D" w:rsidRDefault="00F0225D" w:rsidP="00F0225D">
      <w:pPr>
        <w:pStyle w:val="FootnoteText"/>
        <w:ind w:firstLine="720"/>
      </w:pPr>
      <w:r>
        <w:rPr>
          <w:rStyle w:val="FootnoteReference"/>
        </w:rPr>
        <w:footnoteRef/>
      </w:r>
      <w:r w:rsidRPr="00F0225D">
        <w:t>John R.W. Stott, The Message of Acts, The Bible Speaks Today (Downers Grove: InterVarsity Press, 1990), 185-192.</w:t>
      </w:r>
    </w:p>
  </w:footnote>
  <w:footnote w:id="13">
    <w:p w:rsidR="00F0225D" w:rsidRDefault="00F0225D" w:rsidP="00F0225D">
      <w:pPr>
        <w:pStyle w:val="FootnoteText"/>
        <w:ind w:firstLine="720"/>
      </w:pPr>
      <w:r>
        <w:rPr>
          <w:rStyle w:val="FootnoteReference"/>
        </w:rPr>
        <w:footnoteRef/>
      </w:r>
      <w:r w:rsidRPr="00F0225D">
        <w:t>Max Turner, Power from on High: The Spirit in Israel’s Restoration and Witness in Luke-Acts (Sheffield: Sheffield Academic Press, 1996), 278-285.</w:t>
      </w:r>
    </w:p>
  </w:footnote>
  <w:footnote w:id="14">
    <w:p w:rsidR="00F0225D" w:rsidRDefault="00F0225D" w:rsidP="00F0225D">
      <w:pPr>
        <w:pStyle w:val="FootnoteText"/>
        <w:ind w:firstLine="720"/>
      </w:pPr>
      <w:r>
        <w:rPr>
          <w:rStyle w:val="FootnoteReference"/>
        </w:rPr>
        <w:footnoteRef/>
      </w:r>
      <w:r w:rsidRPr="00F0225D">
        <w:t>F.F. Bruce, The Book of the Acts, NICNT, Revised Edition (Grand Rapids: Eerdmans, 1988), 51-53.</w:t>
      </w:r>
    </w:p>
  </w:footnote>
  <w:footnote w:id="15">
    <w:p w:rsidR="00F0225D" w:rsidRDefault="00F0225D" w:rsidP="00F0225D">
      <w:pPr>
        <w:pStyle w:val="FootnoteText"/>
        <w:ind w:firstLine="720"/>
      </w:pPr>
      <w:r>
        <w:rPr>
          <w:rStyle w:val="FootnoteReference"/>
        </w:rPr>
        <w:footnoteRef/>
      </w:r>
      <w:r w:rsidRPr="00F0225D">
        <w:t>John B. Polhill, Acts, The New American Commentary, Vol. 26 (Nashville: Broadman &amp; Holman, 1992), 142-143, 340-341.</w:t>
      </w:r>
    </w:p>
  </w:footnote>
  <w:footnote w:id="16">
    <w:p w:rsidR="00F0225D" w:rsidRDefault="00F0225D" w:rsidP="00F0225D">
      <w:pPr>
        <w:pStyle w:val="FootnoteText"/>
        <w:ind w:firstLine="720"/>
      </w:pPr>
      <w:r>
        <w:rPr>
          <w:rStyle w:val="FootnoteReference"/>
        </w:rPr>
        <w:footnoteRef/>
      </w:r>
      <w:r w:rsidRPr="00F0225D">
        <w:t>Harold W. Hoehner, Ephesians: An Exegetical Commentary (Grand Rapids: Baker Academic, 2002), 694-700</w:t>
      </w:r>
      <w:r>
        <w:t>.</w:t>
      </w:r>
    </w:p>
  </w:footnote>
  <w:footnote w:id="17">
    <w:p w:rsidR="00F0225D" w:rsidRDefault="00F0225D" w:rsidP="00F0225D">
      <w:pPr>
        <w:pStyle w:val="FootnoteText"/>
        <w:ind w:firstLine="720"/>
      </w:pPr>
      <w:r>
        <w:rPr>
          <w:rStyle w:val="FootnoteReference"/>
        </w:rPr>
        <w:footnoteRef/>
      </w:r>
      <w:r w:rsidRPr="00F0225D">
        <w:t>Gordon D. Fee, God’s Empowering Presence: The Holy Spirit in the Letters of Paul (Peabody: Hendrickson, 1994), 715-728.</w:t>
      </w:r>
      <w:r>
        <w:t xml:space="preserve"> </w:t>
      </w:r>
    </w:p>
  </w:footnote>
  <w:footnote w:id="18">
    <w:p w:rsidR="00F0225D" w:rsidRDefault="00F0225D" w:rsidP="00F0225D">
      <w:pPr>
        <w:pStyle w:val="FootnoteText"/>
        <w:ind w:firstLine="720"/>
      </w:pPr>
      <w:r>
        <w:rPr>
          <w:rStyle w:val="FootnoteReference"/>
        </w:rPr>
        <w:footnoteRef/>
      </w:r>
      <w:r w:rsidRPr="00F0225D">
        <w:t xml:space="preserve">John R.W. Stott, </w:t>
      </w:r>
      <w:r w:rsidRPr="00F0225D">
        <w:rPr>
          <w:i/>
          <w:iCs/>
        </w:rPr>
        <w:t>Baptism and Fullness: The Work of the Holy Spirit Today</w:t>
      </w:r>
      <w:r w:rsidRPr="00F0225D">
        <w:t>, 2nd ed. (Downers Grove: InterVarsity Press, 2006), 48-62.</w:t>
      </w:r>
    </w:p>
  </w:footnote>
  <w:footnote w:id="19">
    <w:p w:rsidR="00F0225D" w:rsidRDefault="00F0225D" w:rsidP="00F0225D">
      <w:pPr>
        <w:pStyle w:val="FootnoteText"/>
        <w:ind w:firstLine="720"/>
      </w:pPr>
      <w:r>
        <w:rPr>
          <w:rStyle w:val="FootnoteReference"/>
        </w:rPr>
        <w:footnoteRef/>
      </w:r>
      <w:r w:rsidRPr="00F0225D">
        <w:t>Gordon D. Fee, God’s Empowering Presence: The Holy Spirit in the Letters of Paul (Peabody: Hendrickson, 1994), 860-865.</w:t>
      </w:r>
    </w:p>
  </w:footnote>
  <w:footnote w:id="20">
    <w:p w:rsidR="00E10393" w:rsidRDefault="00E10393" w:rsidP="00E10393">
      <w:pPr>
        <w:pStyle w:val="FootnoteText"/>
        <w:ind w:firstLine="720"/>
      </w:pPr>
      <w:r>
        <w:rPr>
          <w:rStyle w:val="FootnoteReference"/>
        </w:rPr>
        <w:footnoteRef/>
      </w:r>
      <w:r w:rsidRPr="00E10393">
        <w:t>James D.G. Dunn, Baptism in the Holy Spirit: A Re-examination of the New Testament Teaching on the Gift of the Spirit in Relation to Pentecostalism Today (London: SCM Press, 1970), 54-62.</w:t>
      </w:r>
    </w:p>
  </w:footnote>
  <w:footnote w:id="21">
    <w:p w:rsidR="00E10393" w:rsidRDefault="00E10393" w:rsidP="00E10393">
      <w:pPr>
        <w:pStyle w:val="FootnoteText"/>
        <w:ind w:firstLine="720"/>
      </w:pPr>
      <w:r>
        <w:rPr>
          <w:rStyle w:val="FootnoteReference"/>
        </w:rPr>
        <w:footnoteRef/>
      </w:r>
      <w:r w:rsidRPr="00E10393">
        <w:t>John R.W. Stott, Baptism and Fullness: The Work of the Holy Spirit Today, 2nd ed. (Downers Grove: InterVarsity Press, 2006), 32-45.</w:t>
      </w:r>
    </w:p>
  </w:footnote>
  <w:footnote w:id="22">
    <w:p w:rsidR="00E10393" w:rsidRDefault="00E10393" w:rsidP="00E10393">
      <w:pPr>
        <w:pStyle w:val="FootnoteText"/>
        <w:ind w:firstLine="720"/>
      </w:pPr>
      <w:r>
        <w:rPr>
          <w:rStyle w:val="FootnoteReference"/>
        </w:rPr>
        <w:footnoteRef/>
      </w:r>
      <w:r w:rsidRPr="00E10393">
        <w:t>Max Turner, Power from on High: The Spirit in Israel’s Restoration and Witness in Luke-Acts (Sheffield: Sheffield Academic Press, 1996), 300-310.</w:t>
      </w:r>
    </w:p>
  </w:footnote>
  <w:footnote w:id="23">
    <w:p w:rsidR="00E10393" w:rsidRDefault="00E10393" w:rsidP="00E10393">
      <w:pPr>
        <w:pStyle w:val="FootnoteText"/>
        <w:ind w:firstLine="720"/>
      </w:pPr>
      <w:r>
        <w:rPr>
          <w:rStyle w:val="FootnoteReference"/>
        </w:rPr>
        <w:footnoteRef/>
      </w:r>
      <w:r w:rsidRPr="00E10393">
        <w:t>Stanley M. Horton, “The Pentecostal Perspective,” dalam Perspectives on Spirit Baptism: Five Views, ed. Chad Owen Brand (Nashville: B&amp;H Academic, 2004), 47-85.</w:t>
      </w:r>
    </w:p>
  </w:footnote>
  <w:footnote w:id="24">
    <w:p w:rsidR="00E10393" w:rsidRDefault="00E10393" w:rsidP="00E10393">
      <w:pPr>
        <w:pStyle w:val="FootnoteText"/>
        <w:ind w:firstLine="720"/>
      </w:pPr>
      <w:r>
        <w:rPr>
          <w:rStyle w:val="FootnoteReference"/>
        </w:rPr>
        <w:footnoteRef/>
      </w:r>
      <w:r w:rsidRPr="00E10393">
        <w:t>Frederick Dale Bruner, A Theology of the Holy Spirit: The Pentecostal Experience and the New Testament Witness (Grand Rapids: Eerdmans, 1970), 231-245.</w:t>
      </w:r>
    </w:p>
  </w:footnote>
  <w:footnote w:id="25">
    <w:p w:rsidR="00E10393" w:rsidRDefault="00E10393" w:rsidP="00E10393">
      <w:pPr>
        <w:pStyle w:val="FootnoteText"/>
        <w:ind w:firstLine="720"/>
      </w:pPr>
      <w:r>
        <w:rPr>
          <w:rStyle w:val="FootnoteReference"/>
        </w:rPr>
        <w:footnoteRef/>
      </w:r>
      <w:r w:rsidRPr="00E10393">
        <w:t>Gordon D. Fee, God’s Empowering Presence: The Holy Spirit in the Letters of Paul (Peabody: Hendrickson, 1994), 860-870.</w:t>
      </w:r>
    </w:p>
  </w:footnote>
  <w:footnote w:id="26">
    <w:p w:rsidR="00E10393" w:rsidRDefault="00E10393" w:rsidP="00E10393">
      <w:pPr>
        <w:pStyle w:val="FootnoteText"/>
        <w:ind w:firstLine="720"/>
      </w:pPr>
      <w:r>
        <w:rPr>
          <w:rStyle w:val="FootnoteReference"/>
        </w:rPr>
        <w:footnoteRef/>
      </w:r>
      <w:r w:rsidRPr="00E10393">
        <w:t>John R.W. Stott, Baptism and Fullness: The Work of the Holy Spirit Today, 2nd ed. (Downers Grove: InterVarsity Press, 2006), 50-65.</w:t>
      </w:r>
    </w:p>
  </w:footnote>
  <w:footnote w:id="27">
    <w:p w:rsidR="00E10393" w:rsidRDefault="00E10393" w:rsidP="00E10393">
      <w:pPr>
        <w:pStyle w:val="FootnoteText"/>
        <w:ind w:firstLine="720"/>
      </w:pPr>
      <w:r>
        <w:rPr>
          <w:rStyle w:val="FootnoteReference"/>
        </w:rPr>
        <w:footnoteRef/>
      </w:r>
      <w:r w:rsidRPr="00E10393">
        <w:t>James D.G. Dunn, Baptism in the Holy Spirit (London: SCM Press, 1970), 225-230.</w:t>
      </w:r>
    </w:p>
  </w:footnote>
  <w:footnote w:id="28">
    <w:p w:rsidR="00E10393" w:rsidRDefault="00E10393" w:rsidP="00E10393">
      <w:pPr>
        <w:pStyle w:val="FootnoteText"/>
        <w:ind w:firstLine="720"/>
      </w:pPr>
      <w:r>
        <w:rPr>
          <w:rStyle w:val="FootnoteReference"/>
        </w:rPr>
        <w:footnoteRef/>
      </w:r>
      <w:r w:rsidRPr="00E10393">
        <w:t>Max Turner, Power from on High: The Spirit in Israel’s Restoration and Witness in Luke-Acts (Sheffield: Sheffield Academic Press, 1996), 445-450.</w:t>
      </w:r>
    </w:p>
  </w:footnote>
  <w:footnote w:id="29">
    <w:p w:rsidR="00E10393" w:rsidRDefault="00E10393" w:rsidP="00E10393">
      <w:pPr>
        <w:pStyle w:val="FootnoteText"/>
        <w:ind w:firstLine="720"/>
      </w:pPr>
      <w:r>
        <w:rPr>
          <w:rStyle w:val="FootnoteReference"/>
        </w:rPr>
        <w:footnoteRef/>
      </w:r>
      <w:r w:rsidRPr="00E10393">
        <w:t>Chad Owen Brand, ed., Perspectives on Spirit Baptism: Five Views (Nashville: B&amp;H Academic, 2004), 289-300.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E0D" w:rsidRDefault="00EB6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673" w:rsidRPr="00822673" w:rsidRDefault="00822673">
    <w:pPr>
      <w:pStyle w:val="Header"/>
      <w:rPr>
        <w:rFonts w:ascii="Cambria" w:hAnsi="Cambria"/>
        <w:i/>
      </w:rPr>
    </w:pPr>
    <w:bookmarkStart w:id="0" w:name="_GoBack"/>
    <w:r w:rsidRPr="00822673">
      <w:rPr>
        <w:rFonts w:ascii="Cambria" w:hAnsi="Cambria"/>
        <w:i/>
      </w:rPr>
      <w:t>JURNAL TEOLOGI KALAM MULIA</w:t>
    </w:r>
  </w:p>
  <w:p w:rsidR="00822673" w:rsidRPr="00822673" w:rsidRDefault="00822673">
    <w:pPr>
      <w:pStyle w:val="Header"/>
      <w:rPr>
        <w:rFonts w:ascii="Cambria" w:hAnsi="Cambria"/>
        <w:i/>
      </w:rPr>
    </w:pPr>
    <w:r w:rsidRPr="00822673">
      <w:rPr>
        <w:rFonts w:ascii="Cambria" w:hAnsi="Cambria"/>
        <w:i/>
      </w:rPr>
      <w:t>“SAKRAMEN PERJAMUAN KUDUS SECARA ALKITABIAH DAN TEOLOGIS”</w:t>
    </w:r>
  </w:p>
  <w:p w:rsidR="00822673" w:rsidRDefault="00822673">
    <w:pPr>
      <w:pStyle w:val="Header"/>
      <w:rPr>
        <w:rFonts w:ascii="Cambria" w:hAnsi="Cambria"/>
        <w:i/>
      </w:rPr>
    </w:pPr>
    <w:r w:rsidRPr="00822673">
      <w:rPr>
        <w:rFonts w:ascii="Cambria" w:hAnsi="Cambria"/>
        <w:i/>
      </w:rPr>
      <w:t>VOL. 21 JANUARI 2025</w:t>
    </w:r>
  </w:p>
  <w:bookmarkEnd w:id="0"/>
  <w:p w:rsidR="00822673" w:rsidRPr="00822673" w:rsidRDefault="00822673">
    <w:pPr>
      <w:pStyle w:val="Header"/>
      <w:rPr>
        <w:rFonts w:ascii="Cambria" w:hAnsi="Cambria"/>
        <w:i/>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E0D" w:rsidRDefault="00EB6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20410"/>
    <w:multiLevelType w:val="multilevel"/>
    <w:tmpl w:val="EE6E7D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8B065E"/>
    <w:multiLevelType w:val="multilevel"/>
    <w:tmpl w:val="D5C6B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3F4164"/>
    <w:multiLevelType w:val="multilevel"/>
    <w:tmpl w:val="A95E1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271AA9"/>
    <w:multiLevelType w:val="multilevel"/>
    <w:tmpl w:val="F3CA17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7F19D4"/>
    <w:multiLevelType w:val="hybridMultilevel"/>
    <w:tmpl w:val="E97CEFBC"/>
    <w:lvl w:ilvl="0" w:tplc="7B4477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C1F"/>
    <w:rsid w:val="00326C1F"/>
    <w:rsid w:val="00347115"/>
    <w:rsid w:val="00406C21"/>
    <w:rsid w:val="00822673"/>
    <w:rsid w:val="00974218"/>
    <w:rsid w:val="00E10393"/>
    <w:rsid w:val="00EB6E0D"/>
    <w:rsid w:val="00F02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9198A"/>
  <w15:chartTrackingRefBased/>
  <w15:docId w15:val="{30A3B106-3C5A-48B9-9319-42DDADF0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26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6C1F"/>
    <w:rPr>
      <w:sz w:val="20"/>
      <w:szCs w:val="20"/>
    </w:rPr>
  </w:style>
  <w:style w:type="character" w:styleId="FootnoteReference">
    <w:name w:val="footnote reference"/>
    <w:basedOn w:val="DefaultParagraphFont"/>
    <w:uiPriority w:val="99"/>
    <w:semiHidden/>
    <w:unhideWhenUsed/>
    <w:rsid w:val="00326C1F"/>
    <w:rPr>
      <w:vertAlign w:val="superscript"/>
    </w:rPr>
  </w:style>
  <w:style w:type="paragraph" w:styleId="NormalWeb">
    <w:name w:val="Normal (Web)"/>
    <w:basedOn w:val="Normal"/>
    <w:uiPriority w:val="99"/>
    <w:semiHidden/>
    <w:unhideWhenUsed/>
    <w:rsid w:val="00326C1F"/>
    <w:rPr>
      <w:rFonts w:ascii="Times New Roman" w:hAnsi="Times New Roman" w:cs="Times New Roman"/>
      <w:sz w:val="24"/>
      <w:szCs w:val="24"/>
    </w:rPr>
  </w:style>
  <w:style w:type="paragraph" w:styleId="ListParagraph">
    <w:name w:val="List Paragraph"/>
    <w:basedOn w:val="Normal"/>
    <w:uiPriority w:val="34"/>
    <w:qFormat/>
    <w:rsid w:val="00F0225D"/>
    <w:pPr>
      <w:ind w:left="720"/>
      <w:contextualSpacing/>
    </w:pPr>
  </w:style>
  <w:style w:type="paragraph" w:styleId="Header">
    <w:name w:val="header"/>
    <w:basedOn w:val="Normal"/>
    <w:link w:val="HeaderChar"/>
    <w:uiPriority w:val="99"/>
    <w:unhideWhenUsed/>
    <w:rsid w:val="00822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673"/>
  </w:style>
  <w:style w:type="paragraph" w:styleId="Footer">
    <w:name w:val="footer"/>
    <w:basedOn w:val="Normal"/>
    <w:link w:val="FooterChar"/>
    <w:uiPriority w:val="99"/>
    <w:unhideWhenUsed/>
    <w:rsid w:val="00822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673"/>
  </w:style>
  <w:style w:type="paragraph" w:styleId="BalloonText">
    <w:name w:val="Balloon Text"/>
    <w:basedOn w:val="Normal"/>
    <w:link w:val="BalloonTextChar"/>
    <w:uiPriority w:val="99"/>
    <w:semiHidden/>
    <w:unhideWhenUsed/>
    <w:rsid w:val="00EB6E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E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0811">
      <w:bodyDiv w:val="1"/>
      <w:marLeft w:val="0"/>
      <w:marRight w:val="0"/>
      <w:marTop w:val="0"/>
      <w:marBottom w:val="0"/>
      <w:divBdr>
        <w:top w:val="none" w:sz="0" w:space="0" w:color="auto"/>
        <w:left w:val="none" w:sz="0" w:space="0" w:color="auto"/>
        <w:bottom w:val="none" w:sz="0" w:space="0" w:color="auto"/>
        <w:right w:val="none" w:sz="0" w:space="0" w:color="auto"/>
      </w:divBdr>
    </w:div>
    <w:div w:id="131143297">
      <w:bodyDiv w:val="1"/>
      <w:marLeft w:val="0"/>
      <w:marRight w:val="0"/>
      <w:marTop w:val="0"/>
      <w:marBottom w:val="0"/>
      <w:divBdr>
        <w:top w:val="none" w:sz="0" w:space="0" w:color="auto"/>
        <w:left w:val="none" w:sz="0" w:space="0" w:color="auto"/>
        <w:bottom w:val="none" w:sz="0" w:space="0" w:color="auto"/>
        <w:right w:val="none" w:sz="0" w:space="0" w:color="auto"/>
      </w:divBdr>
    </w:div>
    <w:div w:id="219630422">
      <w:bodyDiv w:val="1"/>
      <w:marLeft w:val="0"/>
      <w:marRight w:val="0"/>
      <w:marTop w:val="0"/>
      <w:marBottom w:val="0"/>
      <w:divBdr>
        <w:top w:val="none" w:sz="0" w:space="0" w:color="auto"/>
        <w:left w:val="none" w:sz="0" w:space="0" w:color="auto"/>
        <w:bottom w:val="none" w:sz="0" w:space="0" w:color="auto"/>
        <w:right w:val="none" w:sz="0" w:space="0" w:color="auto"/>
      </w:divBdr>
    </w:div>
    <w:div w:id="236089276">
      <w:bodyDiv w:val="1"/>
      <w:marLeft w:val="0"/>
      <w:marRight w:val="0"/>
      <w:marTop w:val="0"/>
      <w:marBottom w:val="0"/>
      <w:divBdr>
        <w:top w:val="none" w:sz="0" w:space="0" w:color="auto"/>
        <w:left w:val="none" w:sz="0" w:space="0" w:color="auto"/>
        <w:bottom w:val="none" w:sz="0" w:space="0" w:color="auto"/>
        <w:right w:val="none" w:sz="0" w:space="0" w:color="auto"/>
      </w:divBdr>
    </w:div>
    <w:div w:id="240338058">
      <w:bodyDiv w:val="1"/>
      <w:marLeft w:val="0"/>
      <w:marRight w:val="0"/>
      <w:marTop w:val="0"/>
      <w:marBottom w:val="0"/>
      <w:divBdr>
        <w:top w:val="none" w:sz="0" w:space="0" w:color="auto"/>
        <w:left w:val="none" w:sz="0" w:space="0" w:color="auto"/>
        <w:bottom w:val="none" w:sz="0" w:space="0" w:color="auto"/>
        <w:right w:val="none" w:sz="0" w:space="0" w:color="auto"/>
      </w:divBdr>
    </w:div>
    <w:div w:id="394593890">
      <w:bodyDiv w:val="1"/>
      <w:marLeft w:val="0"/>
      <w:marRight w:val="0"/>
      <w:marTop w:val="0"/>
      <w:marBottom w:val="0"/>
      <w:divBdr>
        <w:top w:val="none" w:sz="0" w:space="0" w:color="auto"/>
        <w:left w:val="none" w:sz="0" w:space="0" w:color="auto"/>
        <w:bottom w:val="none" w:sz="0" w:space="0" w:color="auto"/>
        <w:right w:val="none" w:sz="0" w:space="0" w:color="auto"/>
      </w:divBdr>
    </w:div>
    <w:div w:id="604271937">
      <w:bodyDiv w:val="1"/>
      <w:marLeft w:val="0"/>
      <w:marRight w:val="0"/>
      <w:marTop w:val="0"/>
      <w:marBottom w:val="0"/>
      <w:divBdr>
        <w:top w:val="none" w:sz="0" w:space="0" w:color="auto"/>
        <w:left w:val="none" w:sz="0" w:space="0" w:color="auto"/>
        <w:bottom w:val="none" w:sz="0" w:space="0" w:color="auto"/>
        <w:right w:val="none" w:sz="0" w:space="0" w:color="auto"/>
      </w:divBdr>
    </w:div>
    <w:div w:id="774718241">
      <w:bodyDiv w:val="1"/>
      <w:marLeft w:val="0"/>
      <w:marRight w:val="0"/>
      <w:marTop w:val="0"/>
      <w:marBottom w:val="0"/>
      <w:divBdr>
        <w:top w:val="none" w:sz="0" w:space="0" w:color="auto"/>
        <w:left w:val="none" w:sz="0" w:space="0" w:color="auto"/>
        <w:bottom w:val="none" w:sz="0" w:space="0" w:color="auto"/>
        <w:right w:val="none" w:sz="0" w:space="0" w:color="auto"/>
      </w:divBdr>
    </w:div>
    <w:div w:id="790902453">
      <w:bodyDiv w:val="1"/>
      <w:marLeft w:val="0"/>
      <w:marRight w:val="0"/>
      <w:marTop w:val="0"/>
      <w:marBottom w:val="0"/>
      <w:divBdr>
        <w:top w:val="none" w:sz="0" w:space="0" w:color="auto"/>
        <w:left w:val="none" w:sz="0" w:space="0" w:color="auto"/>
        <w:bottom w:val="none" w:sz="0" w:space="0" w:color="auto"/>
        <w:right w:val="none" w:sz="0" w:space="0" w:color="auto"/>
      </w:divBdr>
    </w:div>
    <w:div w:id="824666628">
      <w:bodyDiv w:val="1"/>
      <w:marLeft w:val="0"/>
      <w:marRight w:val="0"/>
      <w:marTop w:val="0"/>
      <w:marBottom w:val="0"/>
      <w:divBdr>
        <w:top w:val="none" w:sz="0" w:space="0" w:color="auto"/>
        <w:left w:val="none" w:sz="0" w:space="0" w:color="auto"/>
        <w:bottom w:val="none" w:sz="0" w:space="0" w:color="auto"/>
        <w:right w:val="none" w:sz="0" w:space="0" w:color="auto"/>
      </w:divBdr>
    </w:div>
    <w:div w:id="879435244">
      <w:bodyDiv w:val="1"/>
      <w:marLeft w:val="0"/>
      <w:marRight w:val="0"/>
      <w:marTop w:val="0"/>
      <w:marBottom w:val="0"/>
      <w:divBdr>
        <w:top w:val="none" w:sz="0" w:space="0" w:color="auto"/>
        <w:left w:val="none" w:sz="0" w:space="0" w:color="auto"/>
        <w:bottom w:val="none" w:sz="0" w:space="0" w:color="auto"/>
        <w:right w:val="none" w:sz="0" w:space="0" w:color="auto"/>
      </w:divBdr>
    </w:div>
    <w:div w:id="902642954">
      <w:bodyDiv w:val="1"/>
      <w:marLeft w:val="0"/>
      <w:marRight w:val="0"/>
      <w:marTop w:val="0"/>
      <w:marBottom w:val="0"/>
      <w:divBdr>
        <w:top w:val="none" w:sz="0" w:space="0" w:color="auto"/>
        <w:left w:val="none" w:sz="0" w:space="0" w:color="auto"/>
        <w:bottom w:val="none" w:sz="0" w:space="0" w:color="auto"/>
        <w:right w:val="none" w:sz="0" w:space="0" w:color="auto"/>
      </w:divBdr>
    </w:div>
    <w:div w:id="921135594">
      <w:bodyDiv w:val="1"/>
      <w:marLeft w:val="0"/>
      <w:marRight w:val="0"/>
      <w:marTop w:val="0"/>
      <w:marBottom w:val="0"/>
      <w:divBdr>
        <w:top w:val="none" w:sz="0" w:space="0" w:color="auto"/>
        <w:left w:val="none" w:sz="0" w:space="0" w:color="auto"/>
        <w:bottom w:val="none" w:sz="0" w:space="0" w:color="auto"/>
        <w:right w:val="none" w:sz="0" w:space="0" w:color="auto"/>
      </w:divBdr>
    </w:div>
    <w:div w:id="958340755">
      <w:bodyDiv w:val="1"/>
      <w:marLeft w:val="0"/>
      <w:marRight w:val="0"/>
      <w:marTop w:val="0"/>
      <w:marBottom w:val="0"/>
      <w:divBdr>
        <w:top w:val="none" w:sz="0" w:space="0" w:color="auto"/>
        <w:left w:val="none" w:sz="0" w:space="0" w:color="auto"/>
        <w:bottom w:val="none" w:sz="0" w:space="0" w:color="auto"/>
        <w:right w:val="none" w:sz="0" w:space="0" w:color="auto"/>
      </w:divBdr>
    </w:div>
    <w:div w:id="970794354">
      <w:bodyDiv w:val="1"/>
      <w:marLeft w:val="0"/>
      <w:marRight w:val="0"/>
      <w:marTop w:val="0"/>
      <w:marBottom w:val="0"/>
      <w:divBdr>
        <w:top w:val="none" w:sz="0" w:space="0" w:color="auto"/>
        <w:left w:val="none" w:sz="0" w:space="0" w:color="auto"/>
        <w:bottom w:val="none" w:sz="0" w:space="0" w:color="auto"/>
        <w:right w:val="none" w:sz="0" w:space="0" w:color="auto"/>
      </w:divBdr>
    </w:div>
    <w:div w:id="1091319563">
      <w:bodyDiv w:val="1"/>
      <w:marLeft w:val="0"/>
      <w:marRight w:val="0"/>
      <w:marTop w:val="0"/>
      <w:marBottom w:val="0"/>
      <w:divBdr>
        <w:top w:val="none" w:sz="0" w:space="0" w:color="auto"/>
        <w:left w:val="none" w:sz="0" w:space="0" w:color="auto"/>
        <w:bottom w:val="none" w:sz="0" w:space="0" w:color="auto"/>
        <w:right w:val="none" w:sz="0" w:space="0" w:color="auto"/>
      </w:divBdr>
    </w:div>
    <w:div w:id="1129318919">
      <w:bodyDiv w:val="1"/>
      <w:marLeft w:val="0"/>
      <w:marRight w:val="0"/>
      <w:marTop w:val="0"/>
      <w:marBottom w:val="0"/>
      <w:divBdr>
        <w:top w:val="none" w:sz="0" w:space="0" w:color="auto"/>
        <w:left w:val="none" w:sz="0" w:space="0" w:color="auto"/>
        <w:bottom w:val="none" w:sz="0" w:space="0" w:color="auto"/>
        <w:right w:val="none" w:sz="0" w:space="0" w:color="auto"/>
      </w:divBdr>
    </w:div>
    <w:div w:id="1267691720">
      <w:bodyDiv w:val="1"/>
      <w:marLeft w:val="0"/>
      <w:marRight w:val="0"/>
      <w:marTop w:val="0"/>
      <w:marBottom w:val="0"/>
      <w:divBdr>
        <w:top w:val="none" w:sz="0" w:space="0" w:color="auto"/>
        <w:left w:val="none" w:sz="0" w:space="0" w:color="auto"/>
        <w:bottom w:val="none" w:sz="0" w:space="0" w:color="auto"/>
        <w:right w:val="none" w:sz="0" w:space="0" w:color="auto"/>
      </w:divBdr>
    </w:div>
    <w:div w:id="1285500761">
      <w:bodyDiv w:val="1"/>
      <w:marLeft w:val="0"/>
      <w:marRight w:val="0"/>
      <w:marTop w:val="0"/>
      <w:marBottom w:val="0"/>
      <w:divBdr>
        <w:top w:val="none" w:sz="0" w:space="0" w:color="auto"/>
        <w:left w:val="none" w:sz="0" w:space="0" w:color="auto"/>
        <w:bottom w:val="none" w:sz="0" w:space="0" w:color="auto"/>
        <w:right w:val="none" w:sz="0" w:space="0" w:color="auto"/>
      </w:divBdr>
    </w:div>
    <w:div w:id="1285700342">
      <w:bodyDiv w:val="1"/>
      <w:marLeft w:val="0"/>
      <w:marRight w:val="0"/>
      <w:marTop w:val="0"/>
      <w:marBottom w:val="0"/>
      <w:divBdr>
        <w:top w:val="none" w:sz="0" w:space="0" w:color="auto"/>
        <w:left w:val="none" w:sz="0" w:space="0" w:color="auto"/>
        <w:bottom w:val="none" w:sz="0" w:space="0" w:color="auto"/>
        <w:right w:val="none" w:sz="0" w:space="0" w:color="auto"/>
      </w:divBdr>
    </w:div>
    <w:div w:id="1336109602">
      <w:bodyDiv w:val="1"/>
      <w:marLeft w:val="0"/>
      <w:marRight w:val="0"/>
      <w:marTop w:val="0"/>
      <w:marBottom w:val="0"/>
      <w:divBdr>
        <w:top w:val="none" w:sz="0" w:space="0" w:color="auto"/>
        <w:left w:val="none" w:sz="0" w:space="0" w:color="auto"/>
        <w:bottom w:val="none" w:sz="0" w:space="0" w:color="auto"/>
        <w:right w:val="none" w:sz="0" w:space="0" w:color="auto"/>
      </w:divBdr>
    </w:div>
    <w:div w:id="1374160611">
      <w:bodyDiv w:val="1"/>
      <w:marLeft w:val="0"/>
      <w:marRight w:val="0"/>
      <w:marTop w:val="0"/>
      <w:marBottom w:val="0"/>
      <w:divBdr>
        <w:top w:val="none" w:sz="0" w:space="0" w:color="auto"/>
        <w:left w:val="none" w:sz="0" w:space="0" w:color="auto"/>
        <w:bottom w:val="none" w:sz="0" w:space="0" w:color="auto"/>
        <w:right w:val="none" w:sz="0" w:space="0" w:color="auto"/>
      </w:divBdr>
    </w:div>
    <w:div w:id="1382361538">
      <w:bodyDiv w:val="1"/>
      <w:marLeft w:val="0"/>
      <w:marRight w:val="0"/>
      <w:marTop w:val="0"/>
      <w:marBottom w:val="0"/>
      <w:divBdr>
        <w:top w:val="none" w:sz="0" w:space="0" w:color="auto"/>
        <w:left w:val="none" w:sz="0" w:space="0" w:color="auto"/>
        <w:bottom w:val="none" w:sz="0" w:space="0" w:color="auto"/>
        <w:right w:val="none" w:sz="0" w:space="0" w:color="auto"/>
      </w:divBdr>
    </w:div>
    <w:div w:id="1387988908">
      <w:bodyDiv w:val="1"/>
      <w:marLeft w:val="0"/>
      <w:marRight w:val="0"/>
      <w:marTop w:val="0"/>
      <w:marBottom w:val="0"/>
      <w:divBdr>
        <w:top w:val="none" w:sz="0" w:space="0" w:color="auto"/>
        <w:left w:val="none" w:sz="0" w:space="0" w:color="auto"/>
        <w:bottom w:val="none" w:sz="0" w:space="0" w:color="auto"/>
        <w:right w:val="none" w:sz="0" w:space="0" w:color="auto"/>
      </w:divBdr>
    </w:div>
    <w:div w:id="1388994636">
      <w:bodyDiv w:val="1"/>
      <w:marLeft w:val="0"/>
      <w:marRight w:val="0"/>
      <w:marTop w:val="0"/>
      <w:marBottom w:val="0"/>
      <w:divBdr>
        <w:top w:val="none" w:sz="0" w:space="0" w:color="auto"/>
        <w:left w:val="none" w:sz="0" w:space="0" w:color="auto"/>
        <w:bottom w:val="none" w:sz="0" w:space="0" w:color="auto"/>
        <w:right w:val="none" w:sz="0" w:space="0" w:color="auto"/>
      </w:divBdr>
    </w:div>
    <w:div w:id="1412190922">
      <w:bodyDiv w:val="1"/>
      <w:marLeft w:val="0"/>
      <w:marRight w:val="0"/>
      <w:marTop w:val="0"/>
      <w:marBottom w:val="0"/>
      <w:divBdr>
        <w:top w:val="none" w:sz="0" w:space="0" w:color="auto"/>
        <w:left w:val="none" w:sz="0" w:space="0" w:color="auto"/>
        <w:bottom w:val="none" w:sz="0" w:space="0" w:color="auto"/>
        <w:right w:val="none" w:sz="0" w:space="0" w:color="auto"/>
      </w:divBdr>
    </w:div>
    <w:div w:id="1425760639">
      <w:bodyDiv w:val="1"/>
      <w:marLeft w:val="0"/>
      <w:marRight w:val="0"/>
      <w:marTop w:val="0"/>
      <w:marBottom w:val="0"/>
      <w:divBdr>
        <w:top w:val="none" w:sz="0" w:space="0" w:color="auto"/>
        <w:left w:val="none" w:sz="0" w:space="0" w:color="auto"/>
        <w:bottom w:val="none" w:sz="0" w:space="0" w:color="auto"/>
        <w:right w:val="none" w:sz="0" w:space="0" w:color="auto"/>
      </w:divBdr>
    </w:div>
    <w:div w:id="1433892769">
      <w:bodyDiv w:val="1"/>
      <w:marLeft w:val="0"/>
      <w:marRight w:val="0"/>
      <w:marTop w:val="0"/>
      <w:marBottom w:val="0"/>
      <w:divBdr>
        <w:top w:val="none" w:sz="0" w:space="0" w:color="auto"/>
        <w:left w:val="none" w:sz="0" w:space="0" w:color="auto"/>
        <w:bottom w:val="none" w:sz="0" w:space="0" w:color="auto"/>
        <w:right w:val="none" w:sz="0" w:space="0" w:color="auto"/>
      </w:divBdr>
    </w:div>
    <w:div w:id="1510020352">
      <w:bodyDiv w:val="1"/>
      <w:marLeft w:val="0"/>
      <w:marRight w:val="0"/>
      <w:marTop w:val="0"/>
      <w:marBottom w:val="0"/>
      <w:divBdr>
        <w:top w:val="none" w:sz="0" w:space="0" w:color="auto"/>
        <w:left w:val="none" w:sz="0" w:space="0" w:color="auto"/>
        <w:bottom w:val="none" w:sz="0" w:space="0" w:color="auto"/>
        <w:right w:val="none" w:sz="0" w:space="0" w:color="auto"/>
      </w:divBdr>
    </w:div>
    <w:div w:id="1553929582">
      <w:bodyDiv w:val="1"/>
      <w:marLeft w:val="0"/>
      <w:marRight w:val="0"/>
      <w:marTop w:val="0"/>
      <w:marBottom w:val="0"/>
      <w:divBdr>
        <w:top w:val="none" w:sz="0" w:space="0" w:color="auto"/>
        <w:left w:val="none" w:sz="0" w:space="0" w:color="auto"/>
        <w:bottom w:val="none" w:sz="0" w:space="0" w:color="auto"/>
        <w:right w:val="none" w:sz="0" w:space="0" w:color="auto"/>
      </w:divBdr>
    </w:div>
    <w:div w:id="1564095977">
      <w:bodyDiv w:val="1"/>
      <w:marLeft w:val="0"/>
      <w:marRight w:val="0"/>
      <w:marTop w:val="0"/>
      <w:marBottom w:val="0"/>
      <w:divBdr>
        <w:top w:val="none" w:sz="0" w:space="0" w:color="auto"/>
        <w:left w:val="none" w:sz="0" w:space="0" w:color="auto"/>
        <w:bottom w:val="none" w:sz="0" w:space="0" w:color="auto"/>
        <w:right w:val="none" w:sz="0" w:space="0" w:color="auto"/>
      </w:divBdr>
    </w:div>
    <w:div w:id="1570505975">
      <w:bodyDiv w:val="1"/>
      <w:marLeft w:val="0"/>
      <w:marRight w:val="0"/>
      <w:marTop w:val="0"/>
      <w:marBottom w:val="0"/>
      <w:divBdr>
        <w:top w:val="none" w:sz="0" w:space="0" w:color="auto"/>
        <w:left w:val="none" w:sz="0" w:space="0" w:color="auto"/>
        <w:bottom w:val="none" w:sz="0" w:space="0" w:color="auto"/>
        <w:right w:val="none" w:sz="0" w:space="0" w:color="auto"/>
      </w:divBdr>
    </w:div>
    <w:div w:id="1620379157">
      <w:bodyDiv w:val="1"/>
      <w:marLeft w:val="0"/>
      <w:marRight w:val="0"/>
      <w:marTop w:val="0"/>
      <w:marBottom w:val="0"/>
      <w:divBdr>
        <w:top w:val="none" w:sz="0" w:space="0" w:color="auto"/>
        <w:left w:val="none" w:sz="0" w:space="0" w:color="auto"/>
        <w:bottom w:val="none" w:sz="0" w:space="0" w:color="auto"/>
        <w:right w:val="none" w:sz="0" w:space="0" w:color="auto"/>
      </w:divBdr>
    </w:div>
    <w:div w:id="1846746716">
      <w:bodyDiv w:val="1"/>
      <w:marLeft w:val="0"/>
      <w:marRight w:val="0"/>
      <w:marTop w:val="0"/>
      <w:marBottom w:val="0"/>
      <w:divBdr>
        <w:top w:val="none" w:sz="0" w:space="0" w:color="auto"/>
        <w:left w:val="none" w:sz="0" w:space="0" w:color="auto"/>
        <w:bottom w:val="none" w:sz="0" w:space="0" w:color="auto"/>
        <w:right w:val="none" w:sz="0" w:space="0" w:color="auto"/>
      </w:divBdr>
    </w:div>
    <w:div w:id="1943297630">
      <w:bodyDiv w:val="1"/>
      <w:marLeft w:val="0"/>
      <w:marRight w:val="0"/>
      <w:marTop w:val="0"/>
      <w:marBottom w:val="0"/>
      <w:divBdr>
        <w:top w:val="none" w:sz="0" w:space="0" w:color="auto"/>
        <w:left w:val="none" w:sz="0" w:space="0" w:color="auto"/>
        <w:bottom w:val="none" w:sz="0" w:space="0" w:color="auto"/>
        <w:right w:val="none" w:sz="0" w:space="0" w:color="auto"/>
      </w:divBdr>
    </w:div>
    <w:div w:id="2067802562">
      <w:bodyDiv w:val="1"/>
      <w:marLeft w:val="0"/>
      <w:marRight w:val="0"/>
      <w:marTop w:val="0"/>
      <w:marBottom w:val="0"/>
      <w:divBdr>
        <w:top w:val="none" w:sz="0" w:space="0" w:color="auto"/>
        <w:left w:val="none" w:sz="0" w:space="0" w:color="auto"/>
        <w:bottom w:val="none" w:sz="0" w:space="0" w:color="auto"/>
        <w:right w:val="none" w:sz="0" w:space="0" w:color="auto"/>
      </w:divBdr>
    </w:div>
    <w:div w:id="2078935765">
      <w:bodyDiv w:val="1"/>
      <w:marLeft w:val="0"/>
      <w:marRight w:val="0"/>
      <w:marTop w:val="0"/>
      <w:marBottom w:val="0"/>
      <w:divBdr>
        <w:top w:val="none" w:sz="0" w:space="0" w:color="auto"/>
        <w:left w:val="none" w:sz="0" w:space="0" w:color="auto"/>
        <w:bottom w:val="none" w:sz="0" w:space="0" w:color="auto"/>
        <w:right w:val="none" w:sz="0" w:space="0" w:color="auto"/>
      </w:divBdr>
    </w:div>
    <w:div w:id="210430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39E16-8A4C-4C1A-888A-FC73E3DF7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15</Pages>
  <Words>3940</Words>
  <Characters>22461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2</cp:revision>
  <cp:lastPrinted>2026-04-29T03:57:00Z</cp:lastPrinted>
  <dcterms:created xsi:type="dcterms:W3CDTF">2026-04-29T02:57:00Z</dcterms:created>
  <dcterms:modified xsi:type="dcterms:W3CDTF">2026-04-29T07:07:00Z</dcterms:modified>
</cp:coreProperties>
</file>