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68A" w:rsidRDefault="00D1268A" w:rsidP="00D6218F">
      <w:pPr>
        <w:spacing w:after="0" w:line="240" w:lineRule="auto"/>
        <w:jc w:val="center"/>
        <w:rPr>
          <w:rFonts w:ascii="Times New Roman" w:hAnsi="Times New Roman" w:cs="Times New Roman"/>
          <w:b/>
          <w:bCs/>
          <w:sz w:val="24"/>
          <w:szCs w:val="24"/>
        </w:rPr>
      </w:pPr>
      <w:r w:rsidRPr="00D1268A">
        <w:rPr>
          <w:rFonts w:ascii="Times New Roman" w:hAnsi="Times New Roman" w:cs="Times New Roman"/>
          <w:b/>
          <w:bCs/>
          <w:sz w:val="24"/>
          <w:szCs w:val="24"/>
        </w:rPr>
        <w:t>PEMAHAMAN TEOLOGIS YANG BENAR</w:t>
      </w:r>
    </w:p>
    <w:p w:rsidR="00945EAA" w:rsidRPr="00D1268A" w:rsidRDefault="00D1268A" w:rsidP="00D6218F">
      <w:pPr>
        <w:spacing w:after="0" w:line="240" w:lineRule="auto"/>
        <w:jc w:val="center"/>
        <w:rPr>
          <w:rFonts w:ascii="Times New Roman" w:hAnsi="Times New Roman" w:cs="Times New Roman"/>
          <w:sz w:val="24"/>
          <w:szCs w:val="24"/>
        </w:rPr>
      </w:pPr>
      <w:r w:rsidRPr="00D1268A">
        <w:rPr>
          <w:rFonts w:ascii="Times New Roman" w:hAnsi="Times New Roman" w:cs="Times New Roman"/>
          <w:b/>
          <w:bCs/>
          <w:sz w:val="24"/>
          <w:szCs w:val="24"/>
        </w:rPr>
        <w:t>TENTANG PERJAMUAN KUDUS</w:t>
      </w:r>
    </w:p>
    <w:p w:rsidR="00D6218F" w:rsidRDefault="00D6218F" w:rsidP="00D6218F">
      <w:pPr>
        <w:spacing w:after="0" w:line="240" w:lineRule="auto"/>
        <w:jc w:val="center"/>
        <w:rPr>
          <w:rFonts w:ascii="Times New Roman" w:hAnsi="Times New Roman" w:cs="Times New Roman"/>
          <w:bCs/>
          <w:sz w:val="24"/>
          <w:szCs w:val="24"/>
        </w:rPr>
      </w:pPr>
    </w:p>
    <w:p w:rsidR="00D1268A" w:rsidRPr="00D6218F" w:rsidRDefault="00D1268A" w:rsidP="00D6218F">
      <w:pPr>
        <w:spacing w:after="0" w:line="240" w:lineRule="auto"/>
        <w:jc w:val="center"/>
        <w:rPr>
          <w:rFonts w:ascii="Times New Roman" w:hAnsi="Times New Roman" w:cs="Times New Roman"/>
          <w:bCs/>
          <w:sz w:val="24"/>
          <w:szCs w:val="24"/>
        </w:rPr>
      </w:pPr>
      <w:r w:rsidRPr="00D6218F">
        <w:rPr>
          <w:rFonts w:ascii="Times New Roman" w:hAnsi="Times New Roman" w:cs="Times New Roman"/>
          <w:bCs/>
          <w:sz w:val="24"/>
          <w:szCs w:val="24"/>
        </w:rPr>
        <w:t>Oleh</w:t>
      </w:r>
    </w:p>
    <w:p w:rsidR="00D1268A" w:rsidRPr="00D6218F" w:rsidRDefault="00D6218F" w:rsidP="00D6218F">
      <w:pPr>
        <w:spacing w:after="0" w:line="240" w:lineRule="auto"/>
        <w:jc w:val="center"/>
        <w:rPr>
          <w:rFonts w:ascii="Times New Roman" w:hAnsi="Times New Roman" w:cs="Times New Roman"/>
          <w:bCs/>
          <w:sz w:val="24"/>
          <w:szCs w:val="24"/>
        </w:rPr>
      </w:pPr>
      <w:r w:rsidRPr="00D6218F">
        <w:rPr>
          <w:rFonts w:ascii="Times New Roman" w:hAnsi="Times New Roman" w:cs="Times New Roman"/>
          <w:bCs/>
          <w:sz w:val="24"/>
          <w:szCs w:val="24"/>
        </w:rPr>
        <w:t>(</w:t>
      </w:r>
      <w:bookmarkStart w:id="0" w:name="_GoBack"/>
      <w:r w:rsidRPr="00D6218F">
        <w:rPr>
          <w:rFonts w:ascii="Times New Roman" w:hAnsi="Times New Roman" w:cs="Times New Roman"/>
          <w:bCs/>
          <w:sz w:val="24"/>
          <w:szCs w:val="24"/>
        </w:rPr>
        <w:t>Oktavianus Telaumbanua</w:t>
      </w:r>
      <w:r w:rsidR="00D1268A" w:rsidRPr="00D6218F">
        <w:rPr>
          <w:rFonts w:ascii="Times New Roman" w:hAnsi="Times New Roman" w:cs="Times New Roman"/>
          <w:bCs/>
          <w:sz w:val="24"/>
          <w:szCs w:val="24"/>
        </w:rPr>
        <w:t xml:space="preserve"> &amp;</w:t>
      </w:r>
      <w:r w:rsidRPr="00D6218F">
        <w:rPr>
          <w:rFonts w:ascii="Times New Roman" w:hAnsi="Times New Roman" w:cs="Times New Roman"/>
          <w:bCs/>
          <w:sz w:val="24"/>
          <w:szCs w:val="24"/>
        </w:rPr>
        <w:t xml:space="preserve"> Ocsania Resi Tanggela</w:t>
      </w:r>
      <w:r w:rsidR="00D1268A" w:rsidRPr="00D6218F">
        <w:rPr>
          <w:rFonts w:ascii="Times New Roman" w:hAnsi="Times New Roman" w:cs="Times New Roman"/>
          <w:bCs/>
          <w:sz w:val="24"/>
          <w:szCs w:val="24"/>
        </w:rPr>
        <w:t xml:space="preserve"> </w:t>
      </w:r>
      <w:bookmarkEnd w:id="0"/>
      <w:r w:rsidR="00D1268A" w:rsidRPr="00D6218F">
        <w:rPr>
          <w:rFonts w:ascii="Times New Roman" w:hAnsi="Times New Roman" w:cs="Times New Roman"/>
          <w:bCs/>
          <w:sz w:val="24"/>
          <w:szCs w:val="24"/>
        </w:rPr>
        <w:t>)</w:t>
      </w:r>
    </w:p>
    <w:p w:rsidR="00D6218F" w:rsidRDefault="00D6218F" w:rsidP="00D6218F">
      <w:pPr>
        <w:spacing w:after="0" w:line="240" w:lineRule="auto"/>
        <w:jc w:val="center"/>
        <w:rPr>
          <w:rFonts w:ascii="Times New Roman" w:hAnsi="Times New Roman" w:cs="Times New Roman"/>
          <w:b/>
          <w:bCs/>
          <w:sz w:val="24"/>
          <w:szCs w:val="24"/>
        </w:rPr>
      </w:pPr>
    </w:p>
    <w:p w:rsidR="00945EAA" w:rsidRPr="00D1268A" w:rsidRDefault="00945EAA" w:rsidP="00D6218F">
      <w:pPr>
        <w:spacing w:after="0" w:line="240" w:lineRule="auto"/>
        <w:jc w:val="center"/>
        <w:rPr>
          <w:rFonts w:ascii="Times New Roman" w:hAnsi="Times New Roman" w:cs="Times New Roman"/>
          <w:b/>
          <w:bCs/>
          <w:sz w:val="24"/>
          <w:szCs w:val="24"/>
        </w:rPr>
      </w:pPr>
      <w:r w:rsidRPr="00D1268A">
        <w:rPr>
          <w:rFonts w:ascii="Times New Roman" w:hAnsi="Times New Roman" w:cs="Times New Roman"/>
          <w:b/>
          <w:bCs/>
          <w:sz w:val="24"/>
          <w:szCs w:val="24"/>
        </w:rPr>
        <w:t>Abstrak</w:t>
      </w:r>
    </w:p>
    <w:p w:rsidR="00945EAA" w:rsidRPr="00D1268A" w:rsidRDefault="00945EAA" w:rsidP="00D1268A">
      <w:pPr>
        <w:spacing w:after="0" w:line="240" w:lineRule="auto"/>
        <w:ind w:left="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Artikel ini membahas pemahaman teologis yang benar tentang Perjamuan Kudus berdasarkan prinsip </w:t>
      </w:r>
      <w:r w:rsidRPr="00D1268A">
        <w:rPr>
          <w:rFonts w:ascii="Times New Roman" w:hAnsi="Times New Roman" w:cs="Times New Roman"/>
          <w:bCs/>
          <w:i/>
          <w:iCs/>
          <w:sz w:val="24"/>
          <w:szCs w:val="24"/>
        </w:rPr>
        <w:t>sola Scriptura</w:t>
      </w:r>
      <w:r w:rsidRPr="00D1268A">
        <w:rPr>
          <w:rFonts w:ascii="Times New Roman" w:hAnsi="Times New Roman" w:cs="Times New Roman"/>
          <w:bCs/>
          <w:sz w:val="24"/>
          <w:szCs w:val="24"/>
        </w:rPr>
        <w:t>. Dengan menganalisis teks-teks institusi dalam Injil Sinoptik dan 1 Korintus 11:23-34, penelitian ini membandingkan empat pandangan utama dalam sejarah teologi Kristen, yaitu transubstansiasi (Katolik Roma), konsubstansiasi (Luther), memorialisme (Zwingli), dan kehadiran rohani nyata (Calvin).</w:t>
      </w:r>
    </w:p>
    <w:p w:rsidR="00945EAA" w:rsidRPr="00D1268A" w:rsidRDefault="00945EAA" w:rsidP="00D1268A">
      <w:pPr>
        <w:spacing w:after="0" w:line="240" w:lineRule="auto"/>
        <w:ind w:left="720"/>
        <w:jc w:val="both"/>
        <w:rPr>
          <w:rFonts w:ascii="Times New Roman" w:hAnsi="Times New Roman" w:cs="Times New Roman"/>
          <w:bCs/>
          <w:sz w:val="24"/>
          <w:szCs w:val="24"/>
        </w:rPr>
      </w:pPr>
      <w:r w:rsidRPr="00D1268A">
        <w:rPr>
          <w:rFonts w:ascii="Times New Roman" w:hAnsi="Times New Roman" w:cs="Times New Roman"/>
          <w:bCs/>
          <w:sz w:val="24"/>
          <w:szCs w:val="24"/>
        </w:rPr>
        <w:t>Melalui pendekatan studi pustaka dan analisis eksegetis, disimpulkan bahwa pemahaman Yohanes Calvin paling sesuai dengan ajaran Alkitab. Perjamuan Kudus bukan sekadar simbol kosong, melainkan sarana anugerah yang menyatakan kematian Kristus, memperkuat iman orang percaya, memelihara persekutuan dengan Kristus dan sesama, serta mengarahkan pengharapan eskatologis.</w:t>
      </w:r>
      <w:r w:rsidRPr="00D1268A">
        <w:rPr>
          <w:rFonts w:ascii="Times New Roman" w:hAnsi="Times New Roman" w:cs="Times New Roman"/>
          <w:bCs/>
          <w:sz w:val="24"/>
          <w:szCs w:val="24"/>
          <w:vertAlign w:val="superscript"/>
        </w:rPr>
        <w:t>2</w:t>
      </w:r>
      <w:r w:rsidRPr="00D1268A">
        <w:rPr>
          <w:rFonts w:ascii="Times New Roman" w:hAnsi="Times New Roman" w:cs="Times New Roman"/>
          <w:bCs/>
          <w:sz w:val="24"/>
          <w:szCs w:val="24"/>
        </w:rPr>
        <w:t xml:space="preserve"> Pemahaman yang benar menuntut pemeriksaan diri dan sikap layak di hadapan Tuhan. Kajian ini diharapkan berkontribusi bagi pembaruan praktik dan pengajaran Perjamuan Kudus di gereja-gereja Protestan Indonesia.</w:t>
      </w:r>
    </w:p>
    <w:p w:rsidR="00945EAA" w:rsidRPr="00D1268A" w:rsidRDefault="00945EAA" w:rsidP="00D6218F">
      <w:pPr>
        <w:spacing w:after="0" w:line="240" w:lineRule="auto"/>
        <w:ind w:left="720"/>
        <w:jc w:val="both"/>
        <w:rPr>
          <w:rFonts w:ascii="Times New Roman" w:hAnsi="Times New Roman" w:cs="Times New Roman"/>
          <w:bCs/>
          <w:sz w:val="24"/>
          <w:szCs w:val="24"/>
        </w:rPr>
      </w:pPr>
      <w:r w:rsidRPr="00D1268A">
        <w:rPr>
          <w:rFonts w:ascii="Times New Roman" w:hAnsi="Times New Roman" w:cs="Times New Roman"/>
          <w:b/>
          <w:bCs/>
          <w:sz w:val="24"/>
          <w:szCs w:val="24"/>
        </w:rPr>
        <w:t>Kata Kunci</w:t>
      </w:r>
      <w:r w:rsidRPr="00D1268A">
        <w:rPr>
          <w:rFonts w:ascii="Times New Roman" w:hAnsi="Times New Roman" w:cs="Times New Roman"/>
          <w:bCs/>
          <w:sz w:val="24"/>
          <w:szCs w:val="24"/>
        </w:rPr>
        <w:t xml:space="preserve">: Perjamuan Kudus, kehadiran rohani Kristus, Yohanes Calvin, </w:t>
      </w:r>
      <w:r w:rsidRPr="00D1268A">
        <w:rPr>
          <w:rFonts w:ascii="Times New Roman" w:hAnsi="Times New Roman" w:cs="Times New Roman"/>
          <w:bCs/>
          <w:i/>
          <w:iCs/>
          <w:sz w:val="24"/>
          <w:szCs w:val="24"/>
        </w:rPr>
        <w:t>sola Scriptura</w:t>
      </w:r>
      <w:r w:rsidRPr="00D1268A">
        <w:rPr>
          <w:rFonts w:ascii="Times New Roman" w:hAnsi="Times New Roman" w:cs="Times New Roman"/>
          <w:bCs/>
          <w:sz w:val="24"/>
          <w:szCs w:val="24"/>
        </w:rPr>
        <w:t>.</w:t>
      </w:r>
    </w:p>
    <w:p w:rsidR="00D1268A" w:rsidRDefault="00D1268A" w:rsidP="00D1268A">
      <w:pPr>
        <w:spacing w:line="360" w:lineRule="auto"/>
        <w:jc w:val="both"/>
        <w:rPr>
          <w:rFonts w:ascii="Times New Roman" w:hAnsi="Times New Roman" w:cs="Times New Roman"/>
          <w:b/>
          <w:bCs/>
          <w:sz w:val="24"/>
          <w:szCs w:val="24"/>
        </w:rPr>
      </w:pPr>
    </w:p>
    <w:p w:rsidR="007728AE" w:rsidRPr="00D1268A" w:rsidRDefault="007728AE"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Pendahuluan</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yang dalam tradisi Kristen juga disebut sebagai Perjamuan Tuhan, Komuni Kudus, atau Ekaristi, merupakan salah satu praktik paling kuno dan paling sentral dalam kehidupan gereja sejak zaman rasuli.</w:t>
      </w:r>
      <w:r w:rsidRPr="00D1268A">
        <w:rPr>
          <w:rStyle w:val="FootnoteReference"/>
          <w:rFonts w:ascii="Times New Roman" w:hAnsi="Times New Roman" w:cs="Times New Roman"/>
          <w:bCs/>
          <w:sz w:val="24"/>
          <w:szCs w:val="24"/>
        </w:rPr>
        <w:footnoteReference w:id="1"/>
      </w:r>
      <w:r w:rsidRPr="00D1268A">
        <w:rPr>
          <w:rFonts w:ascii="Times New Roman" w:hAnsi="Times New Roman" w:cs="Times New Roman"/>
          <w:bCs/>
          <w:sz w:val="24"/>
          <w:szCs w:val="24"/>
        </w:rPr>
        <w:t xml:space="preserve"> Praktik ini tidak lahir dari inisiatif manusia, melainkan berakar langsung pada perintah Tuhan Yesus Kristus sendiri pada malam sebelum Ia disalibkan. Dalam Perjamuan Terakhir, Yesus mengambil roti, mengucap syukur, memecahkannya, dan berkata, “Inilah tubuh-Ku yang diserahkan bagi kamu; </w:t>
      </w:r>
      <w:r w:rsidRPr="00D1268A">
        <w:rPr>
          <w:rFonts w:ascii="Times New Roman" w:hAnsi="Times New Roman" w:cs="Times New Roman"/>
          <w:bCs/>
          <w:sz w:val="24"/>
          <w:szCs w:val="24"/>
        </w:rPr>
        <w:lastRenderedPageBreak/>
        <w:t>perbuatlah ini menjadi peringatan akan Aku.” Setelah makan malam, Ia mengambil cawan dan berkata, “Cawan ini adalah perjanjian baru oleh darah-Ku yang dicurahkan bagi kamu.”</w:t>
      </w:r>
      <w:r w:rsidRPr="00D1268A">
        <w:rPr>
          <w:rStyle w:val="FootnoteReference"/>
          <w:rFonts w:ascii="Times New Roman" w:hAnsi="Times New Roman" w:cs="Times New Roman"/>
          <w:bCs/>
          <w:sz w:val="24"/>
          <w:szCs w:val="24"/>
        </w:rPr>
        <w:footnoteReference w:id="2"/>
      </w:r>
      <w:r w:rsidRPr="00D1268A">
        <w:rPr>
          <w:rFonts w:ascii="Times New Roman" w:hAnsi="Times New Roman" w:cs="Times New Roman"/>
          <w:bCs/>
          <w:sz w:val="24"/>
          <w:szCs w:val="24"/>
        </w:rPr>
        <w:t xml:space="preserve"> Perintah penutup “Perbuatlah ini menjadi peringatan akan Aku” menjadikan Perjamuan Kudus sebagai ordonansi yang harus dirayakan secara berkelanjutan oleh jemaat sepanjang sejarah. Rasul Paulus menegaskan makna proklamatifnya: “Sebab setiap kali kamu makan roti ini dan minum cawan ini, kamu memberitakan kematian Tuhan sampai Ia datang” (1 Korintus 11:26). Dengan demikian, Perjamuan Kudus bukan sekadar ritual keagamaan, melainkan suatu tindakan ibadah yang sarat makna teologis, yang menghubungkan umat percaya dengan pengorbanan Kristus di kayu salib sekaligus dengan pengharapan kedatangan-Nya yang kedua kali.</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Sepanjang dua ribu tahun sejarah gereja, pemahaman tentang hakikat, makna, dan cara pelaksanaan Perjamuan Kudus telah menjadi salah satu isu teologis yang paling hangat diperdebatkan. Perbedaan pandangan ini tidak hanya menyangkut persoalan kehadiran Kristus dalam unsur roti dan anggur, tetapi juga menyangkut sifat pengorbanan Kristus, peran sakramen dalam penyampaian kasih karunia, serta hubungan antara iman dan sakramen. Perdebatan ini sering kali memicu perpecahan dan bahkan menjadi salah satu pemicu utama Reformasi Protestan abad ke-16.</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Dalam tradisi Gereja Katolik Roma, Perjamuan Kudus (Ekaristi) dipandang sebagai pengulangan yang tidak berdarah dari pengorbanan Kristus di kayu salib. Doktrin transubstansiasi yang dikukuhkan secara resmi dalam Konsili Trento (1545–1563) menyatakan bahwa melalui konsekrasi yang dilakukan oleh imam yang memiliki suksesi apostolik yang sah, substansi roti dan anggur berubah sepenuhnya menjadi tubuh dan darah Kristus yang nyata dan hakiki, sementara rupa luar (akidens) tetap tidak berubah.</w:t>
      </w:r>
      <w:r w:rsidRPr="00D1268A">
        <w:rPr>
          <w:rStyle w:val="FootnoteReference"/>
          <w:rFonts w:ascii="Times New Roman" w:hAnsi="Times New Roman" w:cs="Times New Roman"/>
          <w:bCs/>
          <w:sz w:val="24"/>
          <w:szCs w:val="24"/>
        </w:rPr>
        <w:footnoteReference w:id="3"/>
      </w:r>
      <w:r w:rsidRPr="00D1268A">
        <w:rPr>
          <w:rFonts w:ascii="Times New Roman" w:hAnsi="Times New Roman" w:cs="Times New Roman"/>
          <w:bCs/>
          <w:sz w:val="24"/>
          <w:szCs w:val="24"/>
        </w:rPr>
        <w:t xml:space="preserve"> Doktrin ini menempatkan Ekaristi sebagai pusat dan puncak seluruh kehidupan ibadah gereja, serta sebagai sarana kasih karunia yang bekerja </w:t>
      </w:r>
      <w:r w:rsidRPr="00D1268A">
        <w:rPr>
          <w:rFonts w:ascii="Times New Roman" w:hAnsi="Times New Roman" w:cs="Times New Roman"/>
          <w:bCs/>
          <w:i/>
          <w:iCs/>
          <w:sz w:val="24"/>
          <w:szCs w:val="24"/>
        </w:rPr>
        <w:t>ex opere operato</w:t>
      </w:r>
      <w:r w:rsidRPr="00D1268A">
        <w:rPr>
          <w:rFonts w:ascii="Times New Roman" w:hAnsi="Times New Roman" w:cs="Times New Roman"/>
          <w:bCs/>
          <w:sz w:val="24"/>
          <w:szCs w:val="24"/>
        </w:rPr>
        <w:t xml:space="preserve"> yaitu dari perbuatan sakramen itu sendiri, terlepas dari iman atau kondisi rohani penerimanya.</w:t>
      </w:r>
      <w:r w:rsidRPr="00D1268A">
        <w:rPr>
          <w:rStyle w:val="FootnoteReference"/>
          <w:rFonts w:ascii="Times New Roman" w:hAnsi="Times New Roman" w:cs="Times New Roman"/>
          <w:bCs/>
          <w:sz w:val="24"/>
          <w:szCs w:val="24"/>
        </w:rPr>
        <w:footnoteReference w:id="4"/>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lastRenderedPageBreak/>
        <w:t xml:space="preserve">Pada masa Reformasi Protestan, perdebatan semakin tajam dan melahirkan berbagai pandangan yang saling bertentangan. Martin Luther, dalam karyanya yang terkenal </w:t>
      </w:r>
      <w:r w:rsidRPr="00D1268A">
        <w:rPr>
          <w:rFonts w:ascii="Times New Roman" w:hAnsi="Times New Roman" w:cs="Times New Roman"/>
          <w:bCs/>
          <w:i/>
          <w:iCs/>
          <w:sz w:val="24"/>
          <w:szCs w:val="24"/>
        </w:rPr>
        <w:t>The Babylonian Captivity of the Church</w:t>
      </w:r>
      <w:r w:rsidRPr="00D1268A">
        <w:rPr>
          <w:rFonts w:ascii="Times New Roman" w:hAnsi="Times New Roman" w:cs="Times New Roman"/>
          <w:bCs/>
          <w:sz w:val="24"/>
          <w:szCs w:val="24"/>
        </w:rPr>
        <w:t xml:space="preserve"> (1520), menolak doktrin transubstansiasi karena dianggap terlalu bergantung pada filsafat Aristotelian yang tidak alkitabiah. Namun, Luther tetap mempertahankan kehadiran nyata tubuh dan darah Kristus secara jasmani di dalam, dengan, dan di bawah unsur roti dan anggur melalui apa yang disebut persatuan sakramental (</w:t>
      </w:r>
      <w:r w:rsidRPr="00D1268A">
        <w:rPr>
          <w:rFonts w:ascii="Times New Roman" w:hAnsi="Times New Roman" w:cs="Times New Roman"/>
          <w:bCs/>
          <w:i/>
          <w:iCs/>
          <w:sz w:val="24"/>
          <w:szCs w:val="24"/>
        </w:rPr>
        <w:t>unio sacramentalis</w:t>
      </w:r>
      <w:r w:rsidRPr="00D1268A">
        <w:rPr>
          <w:rFonts w:ascii="Times New Roman" w:hAnsi="Times New Roman" w:cs="Times New Roman"/>
          <w:bCs/>
          <w:sz w:val="24"/>
          <w:szCs w:val="24"/>
        </w:rPr>
        <w:t>).</w:t>
      </w:r>
      <w:r w:rsidRPr="00D1268A">
        <w:rPr>
          <w:rStyle w:val="FootnoteReference"/>
          <w:rFonts w:ascii="Times New Roman" w:hAnsi="Times New Roman" w:cs="Times New Roman"/>
          <w:bCs/>
          <w:sz w:val="24"/>
          <w:szCs w:val="24"/>
        </w:rPr>
        <w:footnoteReference w:id="5"/>
      </w:r>
      <w:r w:rsidRPr="00D1268A">
        <w:rPr>
          <w:rFonts w:ascii="Times New Roman" w:hAnsi="Times New Roman" w:cs="Times New Roman"/>
          <w:bCs/>
          <w:sz w:val="24"/>
          <w:szCs w:val="24"/>
        </w:rPr>
        <w:t xml:space="preserve"> Bagi Luther, Perjamuan Kudus adalah wasiat Kristus yang memberikan pengampunan dosa dan persekutuan pribadi dengan Kristus kepada orang percaya.</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Di pihak lain, Ulrich Zwingli dari Zurich mengambil posisi yang lebih radikal. Dalam tulisannya </w:t>
      </w:r>
      <w:r w:rsidRPr="00D1268A">
        <w:rPr>
          <w:rFonts w:ascii="Times New Roman" w:hAnsi="Times New Roman" w:cs="Times New Roman"/>
          <w:bCs/>
          <w:i/>
          <w:iCs/>
          <w:sz w:val="24"/>
          <w:szCs w:val="24"/>
        </w:rPr>
        <w:t>On the Lord’s Supper</w:t>
      </w:r>
      <w:r w:rsidRPr="00D1268A">
        <w:rPr>
          <w:rFonts w:ascii="Times New Roman" w:hAnsi="Times New Roman" w:cs="Times New Roman"/>
          <w:bCs/>
          <w:sz w:val="24"/>
          <w:szCs w:val="24"/>
        </w:rPr>
        <w:t xml:space="preserve"> (1526), Zwingli memandang Perjamuan Kudus terutama sebagai tindakan memorial dan pernyataan iman serta kesatuan jemaat. Bagi Zwingli, roti dan anggur hanyalah simbol atau lambang semata yang mengingatkan akan pengorbanan Kristus. Ungkapan “Inilah tubuh-Ku” ditafsirkan secara metaforis. Kristus tidak hadir secara nyata dalam unsur-unsur sakramen; kehadiran-Nya hanya bersifat rohani melalui iman. Pandangan ini sering disebut sebagai memorialisme atau simbolisme murni.</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Yohanes Calvin, teolog Reformasi dari Jenewa, berusaha menempuh “jalan tengah” yang lebih setia kepada Firman Tuhan. Dalam </w:t>
      </w:r>
      <w:r w:rsidRPr="00D1268A">
        <w:rPr>
          <w:rFonts w:ascii="Times New Roman" w:hAnsi="Times New Roman" w:cs="Times New Roman"/>
          <w:bCs/>
          <w:i/>
          <w:iCs/>
          <w:sz w:val="24"/>
          <w:szCs w:val="24"/>
        </w:rPr>
        <w:t>Institutes of the Christian Religion</w:t>
      </w:r>
      <w:r w:rsidRPr="00D1268A">
        <w:rPr>
          <w:rFonts w:ascii="Times New Roman" w:hAnsi="Times New Roman" w:cs="Times New Roman"/>
          <w:bCs/>
          <w:sz w:val="24"/>
          <w:szCs w:val="24"/>
        </w:rPr>
        <w:t xml:space="preserve"> (terutama Buku IV, Bab 17), Calvin menolak transubstansiasi karena dianggap merendahkan natur Kristus yang telah dimuliakan dan naik ke surga. Ia juga tidak sepenuhnya setuju dengan pandangan Luther yang dianggapnya terlalu materialistik, serta pandangan Zwingli yang dianggapnya terlalu tipis dan kurang menekankan realitas anugerah. Menurut Calvin, dalam Perjamuan Kudus terjadi kehadiran rohani yang nyata dari Kristus yang dimungkinkan oleh karya Roh Kudus. Orang percaya sungguh-sungguh “makan dan minum” tubuh dan darah Kristus secara rohani (</w:t>
      </w:r>
      <w:r w:rsidRPr="00D1268A">
        <w:rPr>
          <w:rFonts w:ascii="Times New Roman" w:hAnsi="Times New Roman" w:cs="Times New Roman"/>
          <w:bCs/>
          <w:i/>
          <w:iCs/>
          <w:sz w:val="24"/>
          <w:szCs w:val="24"/>
        </w:rPr>
        <w:t>manducatio spiritualis</w:t>
      </w:r>
      <w:r w:rsidRPr="00D1268A">
        <w:rPr>
          <w:rFonts w:ascii="Times New Roman" w:hAnsi="Times New Roman" w:cs="Times New Roman"/>
          <w:bCs/>
          <w:sz w:val="24"/>
          <w:szCs w:val="24"/>
        </w:rPr>
        <w:t xml:space="preserve">), sehingga iman mereka dikuatkan, persekutuan dengan Kristus semakin intim, dan mereka dimeteraikan dalam </w:t>
      </w:r>
      <w:r w:rsidRPr="00D1268A">
        <w:rPr>
          <w:rFonts w:ascii="Times New Roman" w:hAnsi="Times New Roman" w:cs="Times New Roman"/>
          <w:bCs/>
          <w:sz w:val="24"/>
          <w:szCs w:val="24"/>
        </w:rPr>
        <w:lastRenderedPageBreak/>
        <w:t>perjanjian baru oleh darah Kristus.</w:t>
      </w:r>
      <w:r w:rsidRPr="00D1268A">
        <w:rPr>
          <w:rStyle w:val="FootnoteReference"/>
          <w:rFonts w:ascii="Times New Roman" w:hAnsi="Times New Roman" w:cs="Times New Roman"/>
          <w:bCs/>
          <w:sz w:val="24"/>
          <w:szCs w:val="24"/>
        </w:rPr>
        <w:footnoteReference w:id="6"/>
      </w:r>
      <w:r w:rsidRPr="00D1268A">
        <w:rPr>
          <w:rFonts w:ascii="Times New Roman" w:hAnsi="Times New Roman" w:cs="Times New Roman"/>
          <w:bCs/>
          <w:sz w:val="24"/>
          <w:szCs w:val="24"/>
        </w:rPr>
        <w:t xml:space="preserve"> Calvin menekankan bahwa sakramen adalah “tanda yang kelihatan dan meterai” (</w:t>
      </w:r>
      <w:r w:rsidRPr="00D1268A">
        <w:rPr>
          <w:rFonts w:ascii="Times New Roman" w:hAnsi="Times New Roman" w:cs="Times New Roman"/>
          <w:bCs/>
          <w:i/>
          <w:iCs/>
          <w:sz w:val="24"/>
          <w:szCs w:val="24"/>
        </w:rPr>
        <w:t>signum et sigillum</w:t>
      </w:r>
      <w:r w:rsidRPr="00D1268A">
        <w:rPr>
          <w:rFonts w:ascii="Times New Roman" w:hAnsi="Times New Roman" w:cs="Times New Roman"/>
          <w:bCs/>
          <w:sz w:val="24"/>
          <w:szCs w:val="24"/>
        </w:rPr>
        <w:t>) dari janji Allah yang menguatkan iman yang lemah, sekaligus sebagai sarana kasih karunia (</w:t>
      </w:r>
      <w:r w:rsidRPr="00D1268A">
        <w:rPr>
          <w:rFonts w:ascii="Times New Roman" w:hAnsi="Times New Roman" w:cs="Times New Roman"/>
          <w:bCs/>
          <w:i/>
          <w:iCs/>
          <w:sz w:val="24"/>
          <w:szCs w:val="24"/>
        </w:rPr>
        <w:t>means of grace</w:t>
      </w:r>
      <w:r w:rsidRPr="00D1268A">
        <w:rPr>
          <w:rFonts w:ascii="Times New Roman" w:hAnsi="Times New Roman" w:cs="Times New Roman"/>
          <w:bCs/>
          <w:sz w:val="24"/>
          <w:szCs w:val="24"/>
        </w:rPr>
        <w:t>) yang efektif.</w:t>
      </w:r>
      <w:r w:rsidRPr="00D1268A">
        <w:rPr>
          <w:rStyle w:val="FootnoteReference"/>
          <w:rFonts w:ascii="Times New Roman" w:hAnsi="Times New Roman" w:cs="Times New Roman"/>
          <w:bCs/>
          <w:sz w:val="24"/>
          <w:szCs w:val="24"/>
        </w:rPr>
        <w:footnoteReference w:id="7"/>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Di Indonesia, khususnya di kalangan gereja-gereja Protestan dan Reformed, Perjamuan Kudus sering dirayakan secara rutin setiap bulan atau pada hari-hari raya tertentu. Namun, pelaksanaannya tidak jarang dilakukan tanpa pemahaman teologis yang memadai. Banyak jemaat memandangnya hanya sebagai ritual peringatan historis, sebagai sarana untuk “mendapat berkat,” atau sekadar kewajiban formal tanpa disertai pemeriksaan diri yang sungguh-sungguh seperti yang ditegaskan Rasul Paulus dalam 1 Korintus 11:27-32. Akibatnya, muncul bahaya “makan dan minum dengan cara yang tidak layak,” yang justru dapat mendatangkan hukuman rohani berupa kelemahan, sakit, bahkan kematian di antara jemaat, sebagaimana yang dialami jemaat di Korintus.</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Artikel ini bertujuan untuk menguraikan pemahaman teologis yang benar dan alkitabiah tentang Perjamuan Kudus berdasarkan Firman Tuhan, dengan mempertimbangkan konteks historis yang luas, perdebatan klasik di antara para tokoh Reformasi, serta implikasi praktis bagi kehidupan bergereja di Indonesia masa kini. Kajian ini diharapkan dapat membantu pelayan-pelayan Tuhan dan jemaat menghindari dua ekstrem yang berbahaya: ritualisme yang berlebihan di satu sisi, dan simbolisme yang dangkal serta kehilangan kuasa rohaninya di sisi lain. Dengan kembali kepada ajaran Firman Tuhan yang seimbang sebagaimana diupayakan oleh Yohanes Calvin Perjamuan Kudus dapat dipulihkan sebagai sarana anugerah yang hidup dan dinamis, di mana umat percaya sungguh-sungguh bersekutu dengan Kristus yang disalibkan dan yang telah bangkit, sehingga iman, kasih, dan pengharapan mereka semakin diteguhkan sampai Ia datang kembali.</w:t>
      </w:r>
    </w:p>
    <w:p w:rsidR="00D1268A" w:rsidRDefault="00D1268A" w:rsidP="00D6218F">
      <w:pPr>
        <w:spacing w:line="276" w:lineRule="auto"/>
        <w:jc w:val="both"/>
        <w:rPr>
          <w:rFonts w:ascii="Times New Roman" w:hAnsi="Times New Roman" w:cs="Times New Roman"/>
          <w:b/>
          <w:bCs/>
          <w:sz w:val="24"/>
          <w:szCs w:val="24"/>
        </w:rPr>
      </w:pPr>
    </w:p>
    <w:p w:rsidR="007728AE" w:rsidRPr="00D1268A" w:rsidRDefault="007728AE"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lastRenderedPageBreak/>
        <w:t>Metode Penelitian</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Penelitian ini menggunakan pendekatan kualitatif dengan metode studi pustaka (</w:t>
      </w:r>
      <w:r w:rsidRPr="00D1268A">
        <w:rPr>
          <w:rFonts w:ascii="Times New Roman" w:hAnsi="Times New Roman" w:cs="Times New Roman"/>
          <w:bCs/>
          <w:i/>
          <w:iCs/>
          <w:sz w:val="24"/>
          <w:szCs w:val="24"/>
        </w:rPr>
        <w:t>library research</w:t>
      </w:r>
      <w:r w:rsidRPr="00D1268A">
        <w:rPr>
          <w:rFonts w:ascii="Times New Roman" w:hAnsi="Times New Roman" w:cs="Times New Roman"/>
          <w:bCs/>
          <w:sz w:val="24"/>
          <w:szCs w:val="24"/>
        </w:rPr>
        <w:t>). Metode ini dipilih karena penelitian bersifat teologis dan bertujuan untuk menggali, menganalisis, serta menafsirkan doktrin Perjamuan Kudus berdasarkan sumber-sumber tertulis yang otoritatif.</w:t>
      </w:r>
      <w:r w:rsidRPr="00D1268A">
        <w:rPr>
          <w:rStyle w:val="FootnoteReference"/>
          <w:rFonts w:ascii="Times New Roman" w:hAnsi="Times New Roman" w:cs="Times New Roman"/>
          <w:bCs/>
          <w:sz w:val="24"/>
          <w:szCs w:val="24"/>
        </w:rPr>
        <w:footnoteReference w:id="8"/>
      </w:r>
      <w:r w:rsidRPr="00D1268A">
        <w:rPr>
          <w:rFonts w:ascii="Times New Roman" w:hAnsi="Times New Roman" w:cs="Times New Roman"/>
          <w:bCs/>
          <w:sz w:val="24"/>
          <w:szCs w:val="24"/>
        </w:rPr>
        <w:t xml:space="preserve"> Studi pustaka memungkinkan peneliti untuk melakukan kajian mendalam terhadap teks-teks primer dan sekunder tanpa bergantung pada data lapangan empiris.</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Sumber utama dalam penelitian ini adalah Kitab Suci, khususnya teks-teks institusi Perjamuan Kudus yang tercatat dalam Injil Sinoptik (Matius 26:26-29; Markus 14:22-25; Lukas 22:14-20) dan penjelasan Rasul Paulus dalam 1 Korintus 11:23-34. Teks-teks Alkitab ini dianalisis menggunakan metode eksegesis gramatikal-historis dan kontekstual. Pendekatan gramatikal-historis menekankan pemahaman kata-kata asli (bahasa Yunani), struktur kalimat, serta latar belakang historis dan budaya pada zaman Perjanjian Baru. Sementara itu, pendekatan kontekstual melihat teks dalam kesatuan seluruh kanon Alkitab dan kaitannya dengan ajaran-ajaran lain tentang sakramen, perjanjian, dan pengorbanan Kristus.</w:t>
      </w:r>
      <w:r w:rsidRPr="00D1268A">
        <w:rPr>
          <w:rStyle w:val="FootnoteReference"/>
          <w:rFonts w:ascii="Times New Roman" w:hAnsi="Times New Roman" w:cs="Times New Roman"/>
          <w:bCs/>
          <w:sz w:val="24"/>
          <w:szCs w:val="24"/>
        </w:rPr>
        <w:footnoteReference w:id="9"/>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Sumber sekunder mencakup karya-karya klasik teologi Kristen, terutama </w:t>
      </w:r>
      <w:r w:rsidRPr="00D1268A">
        <w:rPr>
          <w:rFonts w:ascii="Times New Roman" w:hAnsi="Times New Roman" w:cs="Times New Roman"/>
          <w:bCs/>
          <w:i/>
          <w:iCs/>
          <w:sz w:val="24"/>
          <w:szCs w:val="24"/>
        </w:rPr>
        <w:t>Institutes of the Christian Religion</w:t>
      </w:r>
      <w:r w:rsidRPr="00D1268A">
        <w:rPr>
          <w:rFonts w:ascii="Times New Roman" w:hAnsi="Times New Roman" w:cs="Times New Roman"/>
          <w:bCs/>
          <w:sz w:val="24"/>
          <w:szCs w:val="24"/>
        </w:rPr>
        <w:t xml:space="preserve"> karya Yohanes Calvin (khususnya Buku IV, Bab 17), tulisan-tulisan Martin Luther mengenai sakramen (seperti </w:t>
      </w:r>
      <w:r w:rsidRPr="00D1268A">
        <w:rPr>
          <w:rFonts w:ascii="Times New Roman" w:hAnsi="Times New Roman" w:cs="Times New Roman"/>
          <w:bCs/>
          <w:i/>
          <w:iCs/>
          <w:sz w:val="24"/>
          <w:szCs w:val="24"/>
        </w:rPr>
        <w:t>The Babylonian Captivity of the Church</w:t>
      </w:r>
      <w:r w:rsidRPr="00D1268A">
        <w:rPr>
          <w:rFonts w:ascii="Times New Roman" w:hAnsi="Times New Roman" w:cs="Times New Roman"/>
          <w:bCs/>
          <w:sz w:val="24"/>
          <w:szCs w:val="24"/>
        </w:rPr>
        <w:t>), serta dokumen pengakuan iman Reformed seperti Pengakuan Iman Belgika, Katekismus Heidelberg, dan Pengakuan Iman Westminster.</w:t>
      </w:r>
      <w:r w:rsidRPr="00D1268A">
        <w:rPr>
          <w:rStyle w:val="FootnoteReference"/>
          <w:rFonts w:ascii="Times New Roman" w:hAnsi="Times New Roman" w:cs="Times New Roman"/>
          <w:bCs/>
          <w:sz w:val="24"/>
          <w:szCs w:val="24"/>
        </w:rPr>
        <w:footnoteReference w:id="10"/>
      </w:r>
      <w:r w:rsidRPr="00D1268A">
        <w:rPr>
          <w:rFonts w:ascii="Times New Roman" w:hAnsi="Times New Roman" w:cs="Times New Roman"/>
          <w:bCs/>
          <w:sz w:val="24"/>
          <w:szCs w:val="24"/>
        </w:rPr>
        <w:t xml:space="preserve"> Dokumen-dokumen ini digunakan untuk memahami perkembangan pemikiran teologis tentang Perjamuan Kudus dalam sejarah Reformasi.</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Selain itu, penelitian juga memanfaatkan literatur kontemporer tentang teologi sakramen dari berbagai perspektif, antara lain Katolik Roma (doktrin </w:t>
      </w:r>
      <w:r w:rsidRPr="00D1268A">
        <w:rPr>
          <w:rFonts w:ascii="Times New Roman" w:hAnsi="Times New Roman" w:cs="Times New Roman"/>
          <w:bCs/>
          <w:sz w:val="24"/>
          <w:szCs w:val="24"/>
        </w:rPr>
        <w:lastRenderedPageBreak/>
        <w:t xml:space="preserve">transubstansiasi), Lutheran (konsubstansiasi atau persatuan sakramental), Reformed (kehadiran rohani menurut Calvin), serta perspektif evangelical modern. Analisis dilakukan secara komparatif untuk menunjukkan persamaan dan perbedaan di antara berbagai pandangan tersebut. Selanjutnya, setiap pandangan dievaluasi secara kritis berdasarkan prinsip </w:t>
      </w:r>
      <w:r w:rsidRPr="00D1268A">
        <w:rPr>
          <w:rFonts w:ascii="Times New Roman" w:hAnsi="Times New Roman" w:cs="Times New Roman"/>
          <w:bCs/>
          <w:i/>
          <w:iCs/>
          <w:sz w:val="24"/>
          <w:szCs w:val="24"/>
        </w:rPr>
        <w:t>sola Scriptura</w:t>
      </w:r>
      <w:r w:rsidRPr="00D1268A">
        <w:rPr>
          <w:rFonts w:ascii="Times New Roman" w:hAnsi="Times New Roman" w:cs="Times New Roman"/>
          <w:bCs/>
          <w:sz w:val="24"/>
          <w:szCs w:val="24"/>
        </w:rPr>
        <w:t>, yaitu kesetiaan pada otoritas tertinggi Firman Tuhan.</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Pendekatan interdisipliner juga diterapkan dalam penelitian ini, yaitu dengan mengaitkan kajian teologis murni dengan implikasi praktis bagi kehidupan bergereja masa kini. Hal ini mencakup pembahasan mengenai disiplin gereja, persiapan diri sebelum Perjamuan Kudus, frekuensi perayaan, serta cara Perjamuan Kudus dapat menjadi sarana kasih karunia yang efektif di tengah konteks gereja</w:t>
      </w:r>
      <w:r w:rsidR="00D54F42" w:rsidRPr="00D1268A">
        <w:rPr>
          <w:rFonts w:ascii="Times New Roman" w:hAnsi="Times New Roman" w:cs="Times New Roman"/>
          <w:bCs/>
          <w:sz w:val="24"/>
          <w:szCs w:val="24"/>
        </w:rPr>
        <w:t>-gereja Protestan di Indonesia.</w:t>
      </w:r>
    </w:p>
    <w:p w:rsidR="007728AE" w:rsidRPr="00D1268A" w:rsidRDefault="007728AE"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Penelitian ini bersifat deskriptif-analitis sekaligus normatif. Secara deskriptif, penelitian menguraikan berbagai pemahaman historis dan teologis tentang Perjamuan Kudus. Secara analitis, penelitian mengkritisi kekuatan dan kelemahan setiap pandangan. Sedangkan secara normatif, penelitian bertujuan mengusulkan pemahaman dan praktik Perjamuan Kudus yang paling sesuai dan setia dengan ajaran Alkitab, khususnya dalam kerangka teologi Reformed yan</w:t>
      </w:r>
      <w:r w:rsidR="00D54F42" w:rsidRPr="00D1268A">
        <w:rPr>
          <w:rFonts w:ascii="Times New Roman" w:hAnsi="Times New Roman" w:cs="Times New Roman"/>
          <w:bCs/>
          <w:sz w:val="24"/>
          <w:szCs w:val="24"/>
        </w:rPr>
        <w:t>g diwakili oleh Yohanes Calvin.</w:t>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Dengan demikian, metode yang digunakan diharapkan dapat menghasilkan kesimpulan yang alkitabiah, historis, teologis, dan relevan secara praktis bagi pelayanan gereja dewasa ini.</w:t>
      </w:r>
    </w:p>
    <w:p w:rsidR="00D54F42" w:rsidRPr="00D1268A" w:rsidRDefault="00D54F42"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Pembahasan</w:t>
      </w:r>
    </w:p>
    <w:p w:rsidR="00D54F42" w:rsidRPr="00D1268A" w:rsidRDefault="00D54F42" w:rsidP="00D6218F">
      <w:pPr>
        <w:pStyle w:val="ListParagraph"/>
        <w:numPr>
          <w:ilvl w:val="0"/>
          <w:numId w:val="4"/>
        </w:num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Dasar Alkitabiah Perjamuan Kudus</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merupakan salah satu ibadah sakramental yang paling penting dalam kehidupan gereja Kristen. Perjamuan ini berakar langsung pada Perjamuan Paskah Yahudi yang dirayakan oleh Yesus bersama kedua belas murid-Nya pada malam sebelum Ia menderita.</w:t>
      </w:r>
      <w:r w:rsidRPr="00D1268A">
        <w:rPr>
          <w:rStyle w:val="FootnoteReference"/>
          <w:rFonts w:ascii="Times New Roman" w:hAnsi="Times New Roman" w:cs="Times New Roman"/>
          <w:bCs/>
          <w:sz w:val="24"/>
          <w:szCs w:val="24"/>
        </w:rPr>
        <w:footnoteReference w:id="11"/>
      </w:r>
      <w:r w:rsidRPr="00D1268A">
        <w:rPr>
          <w:rFonts w:ascii="Times New Roman" w:hAnsi="Times New Roman" w:cs="Times New Roman"/>
          <w:bCs/>
          <w:sz w:val="24"/>
          <w:szCs w:val="24"/>
        </w:rPr>
        <w:t xml:space="preserve"> Pada saat itu, Yesus mengambil roti, mengucap syukur, memecah-mecahkannya, lalu memberikannya kepada murid-murid-Nya sambil berkata: “Inilah tubuh-Ku yang diserahkan bagi kamu; perbuatlah ini menjadi peringatan akan Aku.” </w:t>
      </w:r>
      <w:r w:rsidRPr="00D1268A">
        <w:rPr>
          <w:rFonts w:ascii="Times New Roman" w:hAnsi="Times New Roman" w:cs="Times New Roman"/>
          <w:bCs/>
          <w:sz w:val="24"/>
          <w:szCs w:val="24"/>
        </w:rPr>
        <w:lastRenderedPageBreak/>
        <w:t>Demikian juga dengan cawan, Ia berkata: “Cawan ini adalah perjanjian baru yang dimeteraikan oleh darah-Ku, yang dicurahkan bagi kamu.”</w:t>
      </w:r>
      <w:r w:rsidRPr="00D1268A">
        <w:rPr>
          <w:rStyle w:val="FootnoteReference"/>
          <w:rFonts w:ascii="Times New Roman" w:hAnsi="Times New Roman" w:cs="Times New Roman"/>
          <w:bCs/>
          <w:sz w:val="24"/>
          <w:szCs w:val="24"/>
        </w:rPr>
        <w:footnoteReference w:id="12"/>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Tindakan Yesus ini bukan sekadar kelanjutan dari tradisi Paskah Yahudi, melainkan penggenapan dan pemberian makna baru yang mendalam. Dalam Perjanjian Lama, darah anak domba Paskah melindungi bangsa Israel dari malaikat maut (Keluaran 12). Dalam Perjamuan Kudus, Yesus mempresentasikan diri-Nya sebagai Anak Domba Allah yang sejati, yang darah-Nya menebus dosa seluruh umat manusia dan menjadi dasar bagi Perjanjian Baru yang telah dinubuatkan dalam Yeremia 31:31-34.</w:t>
      </w:r>
      <w:r w:rsidRPr="00D1268A">
        <w:rPr>
          <w:rStyle w:val="FootnoteReference"/>
          <w:rFonts w:ascii="Times New Roman" w:hAnsi="Times New Roman" w:cs="Times New Roman"/>
          <w:bCs/>
          <w:sz w:val="24"/>
          <w:szCs w:val="24"/>
        </w:rPr>
        <w:footnoteReference w:id="13"/>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Ungkapan Yesus “ini adalah” (</w:t>
      </w:r>
      <w:r w:rsidRPr="00D1268A">
        <w:rPr>
          <w:rFonts w:ascii="Times New Roman" w:hAnsi="Times New Roman" w:cs="Times New Roman"/>
          <w:bCs/>
          <w:i/>
          <w:iCs/>
          <w:sz w:val="24"/>
          <w:szCs w:val="24"/>
        </w:rPr>
        <w:t>touto estin</w:t>
      </w:r>
      <w:r w:rsidRPr="00D1268A">
        <w:rPr>
          <w:rFonts w:ascii="Times New Roman" w:hAnsi="Times New Roman" w:cs="Times New Roman"/>
          <w:bCs/>
          <w:sz w:val="24"/>
          <w:szCs w:val="24"/>
        </w:rPr>
        <w:t xml:space="preserve"> dalam bahasa Yunani) sering menjadi pusat perdebatan teologis. Pandangan Katolik Roma memahaminya secara literal melalui doktrin transubstansiasi. Namun, dalam perspektif Alkitabiah yang lebih luas, ungkapan tersebut lebih tepat dipahami sebagai metafor atau metonimi. Yesus sering menggunakan bahasa kiasan serupa, seperti “Akulah pintu” (Yohanes 10:9), “Akulah pokok anggur yang benar” (Yohanes 15:1), dan “Akulah roti hidup” (Yohanes 6:35).</w:t>
      </w:r>
      <w:r w:rsidRPr="00D1268A">
        <w:rPr>
          <w:rStyle w:val="FootnoteReference"/>
          <w:rFonts w:ascii="Times New Roman" w:hAnsi="Times New Roman" w:cs="Times New Roman"/>
          <w:bCs/>
          <w:sz w:val="24"/>
          <w:szCs w:val="24"/>
        </w:rPr>
        <w:footnoteReference w:id="14"/>
      </w:r>
      <w:r w:rsidRPr="00D1268A">
        <w:rPr>
          <w:rFonts w:ascii="Times New Roman" w:hAnsi="Times New Roman" w:cs="Times New Roman"/>
          <w:bCs/>
          <w:sz w:val="24"/>
          <w:szCs w:val="24"/>
        </w:rPr>
        <w:t xml:space="preserve"> Oleh sebab itu, roti dan anggur dalam Perjamuan Kudus berfungsi sebagai tanda yang kelihatan dan segel dari pengorbanan tubuh dan darah Kristus di kayu salib, bukan perubahan substansi secara harfiah.</w:t>
      </w:r>
      <w:r w:rsidRPr="00D1268A">
        <w:rPr>
          <w:rStyle w:val="FootnoteReference"/>
          <w:rFonts w:ascii="Times New Roman" w:hAnsi="Times New Roman" w:cs="Times New Roman"/>
          <w:bCs/>
          <w:sz w:val="24"/>
          <w:szCs w:val="24"/>
        </w:rPr>
        <w:footnoteReference w:id="15"/>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Yang paling penting bukanlah “bagaimana” Kristus hadir dalam elemen tersebut, melainkan makna pengorbanan tubuh dan darah-Nya sebagai dasar Perjanjian Baru (Ibrani pasal 8–10). Melalui kematian-Nya yang sekali untuk selamanya, Kristus telah menyelesaikan seluruh korban penebusan, sehingga tidak diperlukan lagi pengulangan korban seperti pada zaman Perjanjian Lama.</w:t>
      </w:r>
      <w:r w:rsidRPr="00D1268A">
        <w:rPr>
          <w:rStyle w:val="FootnoteReference"/>
          <w:rFonts w:ascii="Times New Roman" w:hAnsi="Times New Roman" w:cs="Times New Roman"/>
          <w:bCs/>
          <w:sz w:val="24"/>
          <w:szCs w:val="24"/>
        </w:rPr>
        <w:footnoteReference w:id="16"/>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lastRenderedPageBreak/>
        <w:t>Rasul Paulus dalam suratnya kepada jemaat di Korintus menekankan tiga dimensi penting Perjamuan Kudus, yaitu:</w:t>
      </w:r>
    </w:p>
    <w:p w:rsidR="00D54F42" w:rsidRPr="00D1268A" w:rsidRDefault="00D54F42" w:rsidP="00D6218F">
      <w:pPr>
        <w:numPr>
          <w:ilvl w:val="0"/>
          <w:numId w:val="3"/>
        </w:num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Peringatan (anamnesis) “Perbuatlah ini menjadi peringatan akan Aku” (1 Korintus 11:24-25).</w:t>
      </w:r>
    </w:p>
    <w:p w:rsidR="00D54F42" w:rsidRPr="00D1268A" w:rsidRDefault="00D54F42" w:rsidP="00D6218F">
      <w:pPr>
        <w:numPr>
          <w:ilvl w:val="0"/>
          <w:numId w:val="3"/>
        </w:num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Pemberitaan kematian Tuhan “Sebab setiap kali kamu makan roti ini dan minum cawan ini, kamu memberitakan kematian Tuhan sampai Ia datang” (1 Korintus 11:26).</w:t>
      </w:r>
    </w:p>
    <w:p w:rsidR="00D54F42" w:rsidRPr="00D1268A" w:rsidRDefault="00D54F42" w:rsidP="00D6218F">
      <w:pPr>
        <w:numPr>
          <w:ilvl w:val="0"/>
          <w:numId w:val="3"/>
        </w:num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Antisipasi kedatangan Kristus yang kedua kali Perjamuan Kudus juga memiliki dimensi eskatologis, yaitu sebagai bayangan pesta kawin Anak Domba (Wahyu 19:9).</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Selain itu, Perjamuan Kudus juga menegaskan persekutuan (koinonia) di antara orang percaya. Paulus menulis: “Roti yang kita pecahkan, bukankah itu persekutuan dengan tubuh Kristus? Cawan yang kita berkati, bukankah itu persekutuan dengan darah Kristus?” (1 Korintus 10:16). Melalui satu roti, banyak orang menjadi satu tubuh, meskipun terdiri dari banyak anggota.</w:t>
      </w:r>
    </w:p>
    <w:p w:rsidR="00D54F42" w:rsidRPr="00D1268A" w:rsidRDefault="00D54F42"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Peringatan Keras tentang Sikap yang Layak</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Paulus juga memberikan peringatan yang sangat tegas dalam 1 Korintus 11:27-32. Ia menyatakan bahwa barangsiapa makan roti dan minum cawan Tuhan dengan cara yang tidak layak, ia berdosa terhadap tubuh dan darah Tuhan. Sikap tidak layak ini terutama disebabkan oleh sikap yang tidak mengakui makna pengorbanan Kristus dan tidak memelihara kesatuan serta kasih di antara jemaat.</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Karena itu, setiap orang yang hendak mengambil bagian dalam Perjamuan Kudus harus “menguji dirinya sendiri” (1 Korintus 11:28). Pemeriksaan diri mencakup penilaian terhadap iman pribadi, kehidupan pertobatan, dan hubungan dengan sesama saudara seiman. Jika seseorang makan dan minum tanpa menguji diri, ia makan dan minum penghukuman atas dirinya sendiri. Paulus bahkan menghubungkan sikap yang tidak layak ini dengan adanya kelemahan, penyakit, dan kematian di antara jemaat Korintus sebagai bentuk disiplin Allah.</w:t>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Namun, disiplin ini bersifat korektif, agar orang percaya tidak dihukum bersama dengan dunia.</w:t>
      </w:r>
    </w:p>
    <w:p w:rsidR="00D54F42" w:rsidRPr="00D1268A" w:rsidRDefault="00D54F42"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lastRenderedPageBreak/>
        <w:t>Implikasi Praktis bagi Jemaat Masa Kini</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bukanlah sekadar ritual keagamaan rutin, melainkan perayaan iman yang sangat kaya makna. Ia mengingatkan kita akan kasih karunia Allah di kayu salib, menguatkan persekutuan antarjemaat, serta membangkitkan pengharapan akan kedatangan Kristus yang kedua kali.</w:t>
      </w:r>
      <w:r w:rsidRPr="00D1268A">
        <w:rPr>
          <w:rStyle w:val="FootnoteReference"/>
          <w:rFonts w:ascii="Times New Roman" w:hAnsi="Times New Roman" w:cs="Times New Roman"/>
          <w:bCs/>
          <w:sz w:val="24"/>
          <w:szCs w:val="24"/>
        </w:rPr>
        <w:footnoteReference w:id="17"/>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Dalam konteks gereja di Indonesia, pemahaman yang benar tentang Perjamuan Kudus akan membantu menghindari dua ekstrem yang berbahaya: yaitu sakralisasi berlebihan yang mendekati takhayul, atau pengosongan makna sehingga Perjamuan Kudus hanya menjadi acara sosial belaka.</w:t>
      </w:r>
    </w:p>
    <w:p w:rsidR="00D54F42" w:rsidRPr="00D1268A" w:rsidRDefault="00D54F42"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2. Perbandingan Pandangan Teologis Utama tentang Perjamuan Kudus</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Dalam sejarah teologi Kristen, terdapat empat pandangan utama mengenai hakikat Perjamuan Kudus. Perbedaan ini muncul terutama karena cara memahami kata-kata Yesus “Inilah tubuh-Ku” serta pertanyaan tentang kehadiran Kristus dalam roti dan anggur. Berikut adalah perbandingan yang lebih rinci:</w:t>
      </w:r>
    </w:p>
    <w:p w:rsidR="00D54F42" w:rsidRPr="00D1268A" w:rsidRDefault="00D54F42"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a. Pandangan Katolik Roma (Transubstansiasi)</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Menurut ajaran Gereja Katolik Roma, pada saat konsekrasi (pengucapan kata-kata konsekrasi oleh imam), terjadi perubahan substansi yang disebut transubstansiasi. Substansi roti dan anggur berubah secara nyata menjadi tubuh dan darah Kristus, sementara rupa luar (accidents) tetap seperti semula. Ekaristi dipandang bukan hanya sebagai peringatan, melainkan sebagai pengorbanan yang tidak berdarah yang mengulang (re-presentasi) pengorbanan Kristus di kayu salib secara aktual.</w:t>
      </w:r>
      <w:r w:rsidRPr="00D1268A">
        <w:rPr>
          <w:rStyle w:val="FootnoteReference"/>
          <w:rFonts w:ascii="Times New Roman" w:hAnsi="Times New Roman" w:cs="Times New Roman"/>
          <w:bCs/>
          <w:sz w:val="24"/>
          <w:szCs w:val="24"/>
        </w:rPr>
        <w:footnoteReference w:id="18"/>
      </w:r>
      <w:r w:rsidRPr="00D1268A">
        <w:rPr>
          <w:rFonts w:ascii="Times New Roman" w:hAnsi="Times New Roman" w:cs="Times New Roman"/>
          <w:bCs/>
          <w:sz w:val="24"/>
          <w:szCs w:val="24"/>
        </w:rPr>
        <w:t xml:space="preserve"> Oleh karena itu, Kristus hadir secara nyata, benar-benar, dan substansial (real presence) di dalam sakramen.</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Kelebihan pandangan ini adalah penekanannya yang kuat pada kehadiran nyata Kristus yang sangat personal dan sakral. Namun, pandangan ini sering dikritik karena berisiko menjadikan sakramen sebagai mekanisme </w:t>
      </w:r>
      <w:r w:rsidRPr="00D1268A">
        <w:rPr>
          <w:rFonts w:ascii="Times New Roman" w:hAnsi="Times New Roman" w:cs="Times New Roman"/>
          <w:bCs/>
          <w:sz w:val="24"/>
          <w:szCs w:val="24"/>
        </w:rPr>
        <w:lastRenderedPageBreak/>
        <w:t>ajaib yang hampir independen dari iman penerima. Ada kecenderungan bahwa kekuatan sakramen terletak pada tindakan konsekrasi itu sendiri (</w:t>
      </w:r>
      <w:r w:rsidRPr="00D1268A">
        <w:rPr>
          <w:rFonts w:ascii="Times New Roman" w:hAnsi="Times New Roman" w:cs="Times New Roman"/>
          <w:bCs/>
          <w:i/>
          <w:iCs/>
          <w:sz w:val="24"/>
          <w:szCs w:val="24"/>
        </w:rPr>
        <w:t>ex opere operato</w:t>
      </w:r>
      <w:r w:rsidRPr="00D1268A">
        <w:rPr>
          <w:rFonts w:ascii="Times New Roman" w:hAnsi="Times New Roman" w:cs="Times New Roman"/>
          <w:bCs/>
          <w:sz w:val="24"/>
          <w:szCs w:val="24"/>
        </w:rPr>
        <w:t>), sehingga iman pribadi orang yang menerima menjadi kurang sentral.</w:t>
      </w:r>
      <w:r w:rsidRPr="00D1268A">
        <w:rPr>
          <w:rStyle w:val="FootnoteReference"/>
          <w:rFonts w:ascii="Times New Roman" w:hAnsi="Times New Roman" w:cs="Times New Roman"/>
          <w:bCs/>
          <w:sz w:val="24"/>
          <w:szCs w:val="24"/>
        </w:rPr>
        <w:footnoteReference w:id="19"/>
      </w:r>
    </w:p>
    <w:p w:rsidR="00D54F42" w:rsidRPr="00D1268A" w:rsidRDefault="00D54F42"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b. Pandangan Lutheran (Konsubstansiasi atau Persatuan Sakramental)</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Martin Luther menolak doktrin transubstansiasi karena dianggap terlalu filosofis dan tidak didasarkan langsung pada Alkitab. Namun, ia tetap mempertahankan kehadiran Kristus yang nyata dalam Perjamuan Kudus. Menurut Luther, tubuh dan darah Kristus hadir “di dalam, bersama dengan, dan di bawah” roti dan anggur (dalam istilah Latin: </w:t>
      </w:r>
      <w:r w:rsidRPr="00D1268A">
        <w:rPr>
          <w:rFonts w:ascii="Times New Roman" w:hAnsi="Times New Roman" w:cs="Times New Roman"/>
          <w:bCs/>
          <w:i/>
          <w:iCs/>
          <w:sz w:val="24"/>
          <w:szCs w:val="24"/>
        </w:rPr>
        <w:t>in, cum, et sub</w:t>
      </w:r>
      <w:r w:rsidRPr="00D1268A">
        <w:rPr>
          <w:rFonts w:ascii="Times New Roman" w:hAnsi="Times New Roman" w:cs="Times New Roman"/>
          <w:bCs/>
          <w:sz w:val="24"/>
          <w:szCs w:val="24"/>
        </w:rPr>
        <w:t>). Ini disebut sebagai persatuan sakramental (</w:t>
      </w:r>
      <w:r w:rsidRPr="00D1268A">
        <w:rPr>
          <w:rFonts w:ascii="Times New Roman" w:hAnsi="Times New Roman" w:cs="Times New Roman"/>
          <w:bCs/>
          <w:i/>
          <w:iCs/>
          <w:sz w:val="24"/>
          <w:szCs w:val="24"/>
        </w:rPr>
        <w:t>sacramental union</w:t>
      </w:r>
      <w:r w:rsidRPr="00D1268A">
        <w:rPr>
          <w:rFonts w:ascii="Times New Roman" w:hAnsi="Times New Roman" w:cs="Times New Roman"/>
          <w:bCs/>
          <w:sz w:val="24"/>
          <w:szCs w:val="24"/>
        </w:rPr>
        <w:t>).</w:t>
      </w:r>
      <w:r w:rsidRPr="00D1268A">
        <w:rPr>
          <w:rStyle w:val="FootnoteReference"/>
          <w:rFonts w:ascii="Times New Roman" w:hAnsi="Times New Roman" w:cs="Times New Roman"/>
          <w:bCs/>
          <w:sz w:val="24"/>
          <w:szCs w:val="24"/>
        </w:rPr>
        <w:footnoteReference w:id="20"/>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Bagi Luther, setiap orang yang menerima roti dan anggur baik yang beriman maupun yang tidak sungguh-sungguh menerima tubuh dan darah Kristus. Sakramen memberikan pengampunan dosa dan kekuatan rohani secara objektif. Kelebihan pandangan ini adalah penekanannya pada realitas supranatural sakramen. Namun, kritik yang sering muncul adalah bahwa pandangan ini masih terlalu materialistis dan cenderung mengurangi peran iman penerima sebagai syarat uta</w:t>
      </w:r>
      <w:r w:rsidR="001179DD" w:rsidRPr="00D1268A">
        <w:rPr>
          <w:rFonts w:ascii="Times New Roman" w:hAnsi="Times New Roman" w:cs="Times New Roman"/>
          <w:bCs/>
          <w:sz w:val="24"/>
          <w:szCs w:val="24"/>
        </w:rPr>
        <w:t>ma penerimaan anugerah.</w:t>
      </w:r>
      <w:r w:rsidR="001179DD" w:rsidRPr="00D1268A">
        <w:rPr>
          <w:rStyle w:val="FootnoteReference"/>
          <w:rFonts w:ascii="Times New Roman" w:hAnsi="Times New Roman" w:cs="Times New Roman"/>
          <w:bCs/>
          <w:sz w:val="24"/>
          <w:szCs w:val="24"/>
        </w:rPr>
        <w:footnoteReference w:id="21"/>
      </w:r>
    </w:p>
    <w:p w:rsidR="00D54F42" w:rsidRPr="00D1268A" w:rsidRDefault="00D54F42"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c. Pandangan Zwingli dan Memorialisme</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Ulrich Zwingli, tokoh Reformasi di Zurich, mengajarkan pandangan yang lebih radikal. Ia memahami kata “ini adalah” sebagai “ini berarti” atau “ini melambangkan”. Bagi Zwingli, Perjamuan Kudus adalah tanda kesaksian iman dan peringatan (memorial) akan kematian Kristus.</w:t>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 xml:space="preserve">Tidak ada kehadiran khusus Kristus di dalam unsur roti dan anggur. Yang terjadi adalah persekutuan horizontal antarjemaat dan penguatan iman melalui tindakan mengingat pengorbanan </w:t>
      </w:r>
      <w:r w:rsidR="001179DD" w:rsidRPr="00D1268A">
        <w:rPr>
          <w:rFonts w:ascii="Times New Roman" w:hAnsi="Times New Roman" w:cs="Times New Roman"/>
          <w:bCs/>
          <w:sz w:val="24"/>
          <w:szCs w:val="24"/>
        </w:rPr>
        <w:t>Kristus.</w:t>
      </w:r>
      <w:r w:rsidR="001179DD" w:rsidRPr="00D1268A">
        <w:rPr>
          <w:rStyle w:val="FootnoteReference"/>
          <w:rFonts w:ascii="Times New Roman" w:hAnsi="Times New Roman" w:cs="Times New Roman"/>
          <w:bCs/>
          <w:sz w:val="24"/>
          <w:szCs w:val="24"/>
        </w:rPr>
        <w:footnoteReference w:id="22"/>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 xml:space="preserve">Pandangan ini sangat menekankan aspek </w:t>
      </w:r>
      <w:r w:rsidRPr="00D1268A">
        <w:rPr>
          <w:rFonts w:ascii="Times New Roman" w:hAnsi="Times New Roman" w:cs="Times New Roman"/>
          <w:bCs/>
          <w:sz w:val="24"/>
          <w:szCs w:val="24"/>
        </w:rPr>
        <w:lastRenderedPageBreak/>
        <w:t>subyektif, etis, dan simbolis. Kelebihannya adalah menghindari segala bentuk materialisme dan takhayul dalam sakramen. Namun, kelemahannya adalah cenderung mengurangi dimensi supranatural sakramen, sehingga Perjamuan Kudus hampir kehilangan karakternya sebagai sarana anugerah ilahi dan hanya menjadi tindak</w:t>
      </w:r>
      <w:r w:rsidR="001179DD" w:rsidRPr="00D1268A">
        <w:rPr>
          <w:rFonts w:ascii="Times New Roman" w:hAnsi="Times New Roman" w:cs="Times New Roman"/>
          <w:bCs/>
          <w:sz w:val="24"/>
          <w:szCs w:val="24"/>
        </w:rPr>
        <w:t>an peringatan manusiawi belaka.</w:t>
      </w:r>
      <w:r w:rsidR="001179DD" w:rsidRPr="00D1268A">
        <w:rPr>
          <w:rStyle w:val="FootnoteReference"/>
          <w:rFonts w:ascii="Times New Roman" w:hAnsi="Times New Roman" w:cs="Times New Roman"/>
          <w:bCs/>
          <w:sz w:val="24"/>
          <w:szCs w:val="24"/>
        </w:rPr>
        <w:footnoteReference w:id="23"/>
      </w:r>
    </w:p>
    <w:p w:rsidR="00D54F42" w:rsidRPr="00D1268A" w:rsidRDefault="00D54F42"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d. Pandangan Calvin / Reformed (Kehadiran Rohani Nyata)</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Yohanes Calvin mengembangkan pandangan yang dianggap banyak teolog Reformed sebagai yang paling seimbang. Calvin mengajarkan kehadiran rohani nyata (</w:t>
      </w:r>
      <w:r w:rsidRPr="00D1268A">
        <w:rPr>
          <w:rFonts w:ascii="Times New Roman" w:hAnsi="Times New Roman" w:cs="Times New Roman"/>
          <w:bCs/>
          <w:i/>
          <w:iCs/>
          <w:sz w:val="24"/>
          <w:szCs w:val="24"/>
        </w:rPr>
        <w:t>real spiritual presence</w:t>
      </w:r>
      <w:r w:rsidRPr="00D1268A">
        <w:rPr>
          <w:rFonts w:ascii="Times New Roman" w:hAnsi="Times New Roman" w:cs="Times New Roman"/>
          <w:bCs/>
          <w:sz w:val="24"/>
          <w:szCs w:val="24"/>
        </w:rPr>
        <w:t>). Menurutnya, Kristus secara jasmani berada di surga pada sebelah kanan Allah Bapa. Namun, melalui karya Roh Kudus yang dinamis, orang percaya yang datang dengan iman sungguh-sungguh diangkat (naik) untuk bersatu dengan Kristus yang dimuliakan di surga. Melalui persekutuan rohani ini, mereka benar-benar menerima makanan rohani, yaitu tubuh dan darah Kristus, untuk pertumb</w:t>
      </w:r>
      <w:r w:rsidR="001179DD" w:rsidRPr="00D1268A">
        <w:rPr>
          <w:rFonts w:ascii="Times New Roman" w:hAnsi="Times New Roman" w:cs="Times New Roman"/>
          <w:bCs/>
          <w:sz w:val="24"/>
          <w:szCs w:val="24"/>
        </w:rPr>
        <w:t>uhan iman dan pengudusan hidup.</w:t>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Calvin menyebut Perjamuan Kudus sebagai sarana anugerah (</w:t>
      </w:r>
      <w:r w:rsidRPr="00D1268A">
        <w:rPr>
          <w:rFonts w:ascii="Times New Roman" w:hAnsi="Times New Roman" w:cs="Times New Roman"/>
          <w:bCs/>
          <w:i/>
          <w:iCs/>
          <w:sz w:val="24"/>
          <w:szCs w:val="24"/>
        </w:rPr>
        <w:t>means of grace</w:t>
      </w:r>
      <w:r w:rsidRPr="00D1268A">
        <w:rPr>
          <w:rFonts w:ascii="Times New Roman" w:hAnsi="Times New Roman" w:cs="Times New Roman"/>
          <w:bCs/>
          <w:sz w:val="24"/>
          <w:szCs w:val="24"/>
        </w:rPr>
        <w:t>). Anugerah tidak datang karena kekuatan roti dan anggur itu sendiri, melainkan karena Firman Allah yang menyertainya dan pekerjaan Roh Kudus. Ia menyebut pengalaman ini sebagai “pertukaran yang ajaib” (</w:t>
      </w:r>
      <w:r w:rsidRPr="00D1268A">
        <w:rPr>
          <w:rFonts w:ascii="Times New Roman" w:hAnsi="Times New Roman" w:cs="Times New Roman"/>
          <w:bCs/>
          <w:i/>
          <w:iCs/>
          <w:sz w:val="24"/>
          <w:szCs w:val="24"/>
        </w:rPr>
        <w:t>wonderful exchange</w:t>
      </w:r>
      <w:r w:rsidRPr="00D1268A">
        <w:rPr>
          <w:rFonts w:ascii="Times New Roman" w:hAnsi="Times New Roman" w:cs="Times New Roman"/>
          <w:bCs/>
          <w:sz w:val="24"/>
          <w:szCs w:val="24"/>
        </w:rPr>
        <w:t>): kita menerima segala sesuatu yang menjadi milik Kristus (kebenaran, kekudusan, hidup kekal), sementara Kristus mengambil kelemahan, dosa, dan kutuk k</w:t>
      </w:r>
      <w:r w:rsidR="001179DD" w:rsidRPr="00D1268A">
        <w:rPr>
          <w:rFonts w:ascii="Times New Roman" w:hAnsi="Times New Roman" w:cs="Times New Roman"/>
          <w:bCs/>
          <w:sz w:val="24"/>
          <w:szCs w:val="24"/>
        </w:rPr>
        <w:t>ita.</w:t>
      </w:r>
    </w:p>
    <w:p w:rsidR="00D54F42" w:rsidRPr="00D1268A" w:rsidRDefault="00D54F42"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Pandangan ini menghindari dua ekstrem: materialisme berlebihan (seperti dalam Katolik dan Lutheran) serta simbolisme yang terlalu tipis (Zwingli). Calvin menekankan bahwa sakramen bekerja melalui iman penerima (</w:t>
      </w:r>
      <w:r w:rsidRPr="00D1268A">
        <w:rPr>
          <w:rFonts w:ascii="Times New Roman" w:hAnsi="Times New Roman" w:cs="Times New Roman"/>
          <w:bCs/>
          <w:i/>
          <w:iCs/>
          <w:sz w:val="24"/>
          <w:szCs w:val="24"/>
        </w:rPr>
        <w:t>ex opere operantis</w:t>
      </w:r>
      <w:r w:rsidRPr="00D1268A">
        <w:rPr>
          <w:rFonts w:ascii="Times New Roman" w:hAnsi="Times New Roman" w:cs="Times New Roman"/>
          <w:bCs/>
          <w:sz w:val="24"/>
          <w:szCs w:val="24"/>
        </w:rPr>
        <w:t xml:space="preserve">), sekaligus sebagai sarana yang </w:t>
      </w:r>
      <w:r w:rsidR="001179DD" w:rsidRPr="00D1268A">
        <w:rPr>
          <w:rFonts w:ascii="Times New Roman" w:hAnsi="Times New Roman" w:cs="Times New Roman"/>
          <w:bCs/>
          <w:sz w:val="24"/>
          <w:szCs w:val="24"/>
        </w:rPr>
        <w:t>telah ditetapkan Allah sendiri.</w:t>
      </w:r>
    </w:p>
    <w:p w:rsidR="001179DD" w:rsidRPr="00D1268A" w:rsidRDefault="001179DD"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3. Aspek-aspek Teologis Penting Perjamuan Kudus</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Perjamuan Kudus bukanlah sekadar ritual keagamaan rutin, melainkan perayaan rohani yang kaya akan makna teologis. Di dalamnya terkandung beberapa aspek penting yang saling terkait dan memberikan kedalaman bagi </w:t>
      </w:r>
      <w:r w:rsidRPr="00D1268A">
        <w:rPr>
          <w:rFonts w:ascii="Times New Roman" w:hAnsi="Times New Roman" w:cs="Times New Roman"/>
          <w:bCs/>
          <w:sz w:val="24"/>
          <w:szCs w:val="24"/>
        </w:rPr>
        <w:lastRenderedPageBreak/>
        <w:t>kehidupan iman orang percaya. Berikut adalah penjelasan lebih rinci mengenai aspek-aspek teologis utama Perjamuan Kudus:</w:t>
      </w:r>
    </w:p>
    <w:p w:rsidR="001179DD" w:rsidRPr="00D1268A" w:rsidRDefault="001179DD"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a. Peringatan (Anamnesis)</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Salah satu aspek paling mendasar dari Perjamuan Kudus adalah peringatan atau </w:t>
      </w:r>
      <w:r w:rsidRPr="00D1268A">
        <w:rPr>
          <w:rFonts w:ascii="Times New Roman" w:hAnsi="Times New Roman" w:cs="Times New Roman"/>
          <w:bCs/>
          <w:i/>
          <w:iCs/>
          <w:sz w:val="24"/>
          <w:szCs w:val="24"/>
        </w:rPr>
        <w:t>anamnesis</w:t>
      </w:r>
      <w:r w:rsidRPr="00D1268A">
        <w:rPr>
          <w:rFonts w:ascii="Times New Roman" w:hAnsi="Times New Roman" w:cs="Times New Roman"/>
          <w:bCs/>
          <w:sz w:val="24"/>
          <w:szCs w:val="24"/>
        </w:rPr>
        <w:t xml:space="preserve">. Yesus sendiri memerintahkan, “Perbuatlah ini menjadi peringatan akan Aku” (Lukas 22:19; 1 Korintus 11:24-25). Kata Yunani </w:t>
      </w:r>
      <w:r w:rsidRPr="00D1268A">
        <w:rPr>
          <w:rFonts w:ascii="Times New Roman" w:hAnsi="Times New Roman" w:cs="Times New Roman"/>
          <w:bCs/>
          <w:i/>
          <w:iCs/>
          <w:sz w:val="24"/>
          <w:szCs w:val="24"/>
        </w:rPr>
        <w:t>anamnesis</w:t>
      </w:r>
      <w:r w:rsidRPr="00D1268A">
        <w:rPr>
          <w:rFonts w:ascii="Times New Roman" w:hAnsi="Times New Roman" w:cs="Times New Roman"/>
          <w:bCs/>
          <w:sz w:val="24"/>
          <w:szCs w:val="24"/>
        </w:rPr>
        <w:t xml:space="preserve"> tidak berarti sekadar mengingat secara intelektual, melainkan menghadirkan kembali secara aktif kuasa dan realitas pengorbanan Kristus di kayu salib.</w:t>
      </w:r>
      <w:r w:rsidRPr="00D1268A">
        <w:rPr>
          <w:rStyle w:val="FootnoteReference"/>
          <w:rFonts w:ascii="Times New Roman" w:hAnsi="Times New Roman" w:cs="Times New Roman"/>
          <w:bCs/>
          <w:sz w:val="24"/>
          <w:szCs w:val="24"/>
        </w:rPr>
        <w:footnoteReference w:id="24"/>
      </w:r>
      <w:r w:rsidRPr="00D1268A">
        <w:rPr>
          <w:rFonts w:ascii="Times New Roman" w:hAnsi="Times New Roman" w:cs="Times New Roman"/>
          <w:bCs/>
          <w:sz w:val="24"/>
          <w:szCs w:val="24"/>
        </w:rPr>
        <w:t xml:space="preserve"> Melalui Perjamuan Kudus, jemaat tidak hanya mengenang peristiwa masa lalu, tetapi juga mengalami kembali manfaat penebusan yang dilakukan Kristus sekali untuk selamanya (Ibrani 9:26-28).</w:t>
      </w:r>
      <w:r w:rsidRPr="00D1268A">
        <w:rPr>
          <w:rStyle w:val="FootnoteReference"/>
          <w:rFonts w:ascii="Times New Roman" w:hAnsi="Times New Roman" w:cs="Times New Roman"/>
          <w:bCs/>
          <w:sz w:val="24"/>
          <w:szCs w:val="24"/>
        </w:rPr>
        <w:footnoteReference w:id="25"/>
      </w:r>
    </w:p>
    <w:p w:rsidR="001179DD" w:rsidRPr="00D1268A" w:rsidRDefault="001179DD"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b. Pemberitaan Kematian Tuhan</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juga merupakan pemberitaan akan kematian Tuhan Yesus Kristus. Rasul Paulus menyatakan dengan tegas: “Sebab setiap kali kamu makan roti ini dan minum cawan ini, kamu memberitakan kematian Tuhan sampai Ia datang” (1 Korintus 11:26). Perjamuan Kudus berfungsi sebagai “khotbah visual” yang menyatakan Injil kepada dunia. Setiap kali dirayakan, jemaat secara bersama-sama memproklamasikan bahwa keselamatan manusia hanya didasarkan pada pengorbanan Kristus di Golgota, bukan pada usaha manusia.</w:t>
      </w:r>
      <w:r w:rsidRPr="00D1268A">
        <w:rPr>
          <w:rStyle w:val="FootnoteReference"/>
          <w:rFonts w:ascii="Times New Roman" w:hAnsi="Times New Roman" w:cs="Times New Roman"/>
          <w:bCs/>
          <w:sz w:val="24"/>
          <w:szCs w:val="24"/>
        </w:rPr>
        <w:footnoteReference w:id="26"/>
      </w:r>
    </w:p>
    <w:p w:rsidR="001179DD" w:rsidRPr="00D1268A" w:rsidRDefault="001179DD"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c. Persekutuan (Koinonia)</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Perjamuan Kudus memiliki dimensi persekutuan yang sangat kuat, baik secara vertikal maupun horizontal. Secara vertikal, orang percaya bersekutu dengan Kristus sendiri. Secara horizontal, mereka bersekutu dengan sesama saudara seiman. Paulus menegaskan: “Roti yang kita pecahkan, bukankah itu persekutuan dengan tubuh Kristus? … Sebab walaupun banyak, </w:t>
      </w:r>
      <w:r w:rsidRPr="00D1268A">
        <w:rPr>
          <w:rFonts w:ascii="Times New Roman" w:hAnsi="Times New Roman" w:cs="Times New Roman"/>
          <w:bCs/>
          <w:sz w:val="24"/>
          <w:szCs w:val="24"/>
        </w:rPr>
        <w:lastRenderedPageBreak/>
        <w:t>kita adalah satu roti, satu tubuh” (1 Korintus 10:16-17).</w:t>
      </w:r>
      <w:r w:rsidRPr="00D1268A">
        <w:rPr>
          <w:rStyle w:val="FootnoteReference"/>
          <w:rFonts w:ascii="Times New Roman" w:hAnsi="Times New Roman" w:cs="Times New Roman"/>
          <w:bCs/>
          <w:sz w:val="24"/>
          <w:szCs w:val="24"/>
        </w:rPr>
        <w:footnoteReference w:id="27"/>
      </w:r>
      <w:r w:rsidRPr="00D1268A">
        <w:rPr>
          <w:rFonts w:ascii="Times New Roman" w:hAnsi="Times New Roman" w:cs="Times New Roman"/>
          <w:bCs/>
          <w:sz w:val="24"/>
          <w:szCs w:val="24"/>
        </w:rPr>
        <w:t xml:space="preserve"> Perjamuan Kudus dengan demikian memperkuat kesatuan jemaat dan menghancurkan tembok pemisah antara suku, status sosial, dan latar belakang. Perpecahan dan diskriminasi, seperti yang terjadi di jemaat Korintus, merupakan penyangkalan langsung terhadap makna Perjamuan Kudus.</w:t>
      </w:r>
      <w:r w:rsidRPr="00D1268A">
        <w:rPr>
          <w:rStyle w:val="FootnoteReference"/>
          <w:rFonts w:ascii="Times New Roman" w:hAnsi="Times New Roman" w:cs="Times New Roman"/>
          <w:bCs/>
          <w:sz w:val="24"/>
          <w:szCs w:val="24"/>
        </w:rPr>
        <w:footnoteReference w:id="28"/>
      </w:r>
    </w:p>
    <w:p w:rsidR="001179DD" w:rsidRPr="00D1268A" w:rsidRDefault="001179DD"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d. Penguatan Iman dan Meterai Anugerah</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berfungsi sebagai sarana anugerah (</w:t>
      </w:r>
      <w:r w:rsidRPr="00D1268A">
        <w:rPr>
          <w:rFonts w:ascii="Times New Roman" w:hAnsi="Times New Roman" w:cs="Times New Roman"/>
          <w:bCs/>
          <w:i/>
          <w:iCs/>
          <w:sz w:val="24"/>
          <w:szCs w:val="24"/>
        </w:rPr>
        <w:t>means of grace</w:t>
      </w:r>
      <w:r w:rsidRPr="00D1268A">
        <w:rPr>
          <w:rFonts w:ascii="Times New Roman" w:hAnsi="Times New Roman" w:cs="Times New Roman"/>
          <w:bCs/>
          <w:sz w:val="24"/>
          <w:szCs w:val="24"/>
        </w:rPr>
        <w:t>) yang memperkuat iman orang percaya. Seperti halnya Baptisan, Perjamuan Kudus adalah meterai dari janji Allah. Melalui sakramen ini, Allah menguatkan keyakinan kita akan pengampunan dosa, kehadiran-Nya, dan kasih karunia-Nya yang terus-menerus. Bagi Calvin, Perjamuan Kudus adalah “makanan rohani” yang memelihara dan menumbuhkan iman, sehingga orang percaya semakin serupa dengan Kristus.</w:t>
      </w:r>
      <w:r w:rsidRPr="00D1268A">
        <w:rPr>
          <w:rStyle w:val="FootnoteReference"/>
          <w:rFonts w:ascii="Times New Roman" w:hAnsi="Times New Roman" w:cs="Times New Roman"/>
          <w:bCs/>
          <w:sz w:val="24"/>
          <w:szCs w:val="24"/>
        </w:rPr>
        <w:footnoteReference w:id="29"/>
      </w:r>
    </w:p>
    <w:p w:rsidR="001179DD" w:rsidRPr="00D1268A" w:rsidRDefault="001179DD"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e. Dimensi Eskatologis (Pengharapan Akhir Zaman)</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juga memiliki arti yang sangat kuat secara eskatologis. Ia merupakan antisipasi dan bayangan dari Perjamuan Kawin Anak Domba yang akan dirayakan di akhir zaman (Wahyu 19:9; Lukas 22:16, 29-30). Setiap kali merayakan Perjamuan Kudus, jemaat tidak hanya memandang ke belakang (salib), tetapi juga memandang ke depan (kedatangan Kristus yang kedua kali). Dimensi ini memberikan pengharapan dan kekuatan di tengah penderitaan dan pergumulan hidup.</w:t>
      </w:r>
      <w:r w:rsidRPr="00D1268A">
        <w:rPr>
          <w:rStyle w:val="FootnoteReference"/>
          <w:rFonts w:ascii="Times New Roman" w:hAnsi="Times New Roman" w:cs="Times New Roman"/>
          <w:bCs/>
          <w:sz w:val="24"/>
          <w:szCs w:val="24"/>
        </w:rPr>
        <w:footnoteReference w:id="30"/>
      </w:r>
    </w:p>
    <w:p w:rsidR="001179DD" w:rsidRPr="00D1268A" w:rsidRDefault="001179DD" w:rsidP="00D6218F">
      <w:pPr>
        <w:spacing w:line="276" w:lineRule="auto"/>
        <w:jc w:val="both"/>
        <w:rPr>
          <w:rFonts w:ascii="Times New Roman" w:hAnsi="Times New Roman" w:cs="Times New Roman"/>
          <w:bCs/>
          <w:sz w:val="24"/>
          <w:szCs w:val="24"/>
        </w:rPr>
      </w:pPr>
      <w:r w:rsidRPr="00D1268A">
        <w:rPr>
          <w:rFonts w:ascii="Times New Roman" w:hAnsi="Times New Roman" w:cs="Times New Roman"/>
          <w:bCs/>
          <w:sz w:val="24"/>
          <w:szCs w:val="24"/>
        </w:rPr>
        <w:t>f. Aspek Disiplin dan Kekudusan</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Perjamuan Kudus menuntut sikap yang layak dari setiap peserta. Paulus memberikan peringatan keras bahwa makan dan minum dengan cara yang tidak layak berarti berdosa terhadap tubuh dan darah Tuhan (1 Korintus 11:27-29). Oleh karena itu, setiap orang harus menguji dirinya sendiri </w:t>
      </w:r>
      <w:r w:rsidRPr="00D1268A">
        <w:rPr>
          <w:rFonts w:ascii="Times New Roman" w:hAnsi="Times New Roman" w:cs="Times New Roman"/>
          <w:bCs/>
          <w:sz w:val="24"/>
          <w:szCs w:val="24"/>
        </w:rPr>
        <w:lastRenderedPageBreak/>
        <w:t>memeriksa iman, pertobatan, dan hubungan dengan sesama.</w:t>
      </w:r>
      <w:r w:rsidRPr="00D1268A">
        <w:rPr>
          <w:rStyle w:val="FootnoteReference"/>
          <w:rFonts w:ascii="Times New Roman" w:hAnsi="Times New Roman" w:cs="Times New Roman"/>
          <w:bCs/>
          <w:sz w:val="24"/>
          <w:szCs w:val="24"/>
        </w:rPr>
        <w:footnoteReference w:id="31"/>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Praktik yang salah di jemaat Korintus, yaitu pembagian kelas sosial (yang kaya makan duluan dan yang miskin kelaparan) serta sikap mabuk-mabukan, menunjukkan betapa mudahnya Perjamuan Kudus disalahgunakan. Hal ini mengingatkan kita bahwa Perjamuan Kudus tidak boleh dipisahkan dari kehidupan kudus sehari-hari. Sakramen ini bukanlah jaminan keselamatan bagi orang yang hidup dalam dosa dan perpecahan, melainkan panggilan untuk hidup dalam pertobatan, kasih persaudaraan, dan kesucian.</w:t>
      </w:r>
      <w:r w:rsidRPr="00D1268A">
        <w:rPr>
          <w:rStyle w:val="FootnoteReference"/>
          <w:rFonts w:ascii="Times New Roman" w:hAnsi="Times New Roman" w:cs="Times New Roman"/>
          <w:bCs/>
          <w:sz w:val="24"/>
          <w:szCs w:val="24"/>
        </w:rPr>
        <w:footnoteReference w:id="32"/>
      </w:r>
      <w:r w:rsidR="00D1268A">
        <w:rPr>
          <w:rFonts w:ascii="Times New Roman" w:hAnsi="Times New Roman" w:cs="Times New Roman"/>
          <w:bCs/>
          <w:sz w:val="24"/>
          <w:szCs w:val="24"/>
        </w:rPr>
        <w:t xml:space="preserve"> </w:t>
      </w:r>
      <w:r w:rsidRPr="00D1268A">
        <w:rPr>
          <w:rFonts w:ascii="Times New Roman" w:hAnsi="Times New Roman" w:cs="Times New Roman"/>
          <w:bCs/>
          <w:sz w:val="24"/>
          <w:szCs w:val="24"/>
        </w:rPr>
        <w:t>Dengan demikian, Perjamuan Kudus merupakan sarana yang holistik: ia mengingatkan, memberitakan, mempersatukan, menguatkan, mengharapkan, dan mendisiplinkan umat Allah agar semakin bertumbuh dalam keserupaan dengan Kristus.</w:t>
      </w:r>
    </w:p>
    <w:p w:rsidR="001179DD" w:rsidRPr="00D1268A" w:rsidRDefault="001179DD"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Kesimpulan</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merupakan salah satu puncak ibadah Kristen yang sangat kaya akan makna teologis dan praktis. Dari pembahasan yang telah disajikan, dapat disimpulkan bahwa pemahaman teologis yang benar tentang Perjamuan Kudus harus selalu berpusat pada Firman Allah sebagai satu-satunya otoritas tertinggi, bukan pada tradisi manusia, filsafat Yunani, atau praktik keagamaan yang telah berkembang seiring waktu.</w:t>
      </w:r>
      <w:r w:rsidRPr="00D1268A">
        <w:rPr>
          <w:rStyle w:val="FootnoteReference"/>
          <w:rFonts w:ascii="Times New Roman" w:hAnsi="Times New Roman" w:cs="Times New Roman"/>
          <w:bCs/>
          <w:sz w:val="24"/>
          <w:szCs w:val="24"/>
        </w:rPr>
        <w:footnoteReference w:id="33"/>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 xml:space="preserve">Berdasarkan analisis eksegetis terhadap teks-teks Alkitab (khususnya Lukas 22:14-20, 1 Korintus 10:16-17, dan 1 Korintus 11:17-34) serta tinjauan sejarah teologi, pandangan yang paling selaras dengan ajaran Alkitab adalah pandangan kehadiran rohani nyata sebagaimana diajarkan oleh Yohanes Calvin. Menurut Calvin, Kristus yang secara jasmani berada di surga hadir secara rohani dan dinamis di tengah jemaat melalui pekerjaan Roh Kudus. Melalui iman yang dihidupkan oleh Roh Kudus, orang percaya sungguh-sungguh bersekutu dengan Kristus yang tersalib dan yang telah bangkit. Mereka menerima manfaat penebusan-Nya, yaitu pengampunan dosa, </w:t>
      </w:r>
      <w:r w:rsidRPr="00D1268A">
        <w:rPr>
          <w:rFonts w:ascii="Times New Roman" w:hAnsi="Times New Roman" w:cs="Times New Roman"/>
          <w:bCs/>
          <w:sz w:val="24"/>
          <w:szCs w:val="24"/>
        </w:rPr>
        <w:lastRenderedPageBreak/>
        <w:t>penguatan iman, kekudusan hidup, dan persekutuan yang intim dengan Tuhan.</w:t>
      </w:r>
      <w:r w:rsidRPr="00D1268A">
        <w:rPr>
          <w:rStyle w:val="FootnoteReference"/>
          <w:rFonts w:ascii="Times New Roman" w:hAnsi="Times New Roman" w:cs="Times New Roman"/>
          <w:bCs/>
          <w:sz w:val="24"/>
          <w:szCs w:val="24"/>
        </w:rPr>
        <w:footnoteReference w:id="34"/>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Perjamuan Kudus bukanlah pengulangan atau pengorbanan ulang Kristus seperti yang diajarkan dalam tradisi Katolik Roma. Ia juga bukan sekadar upacara peringatan simbolis yang tipis seperti dalam pandangan memorialisme murni Zwingli. Sebaliknya, Perjamuan Kudus adalah pesta rohani yang penuh kuasa, di mana Allah secara nyata menyampaikan anugerah-Nya kepada um</w:t>
      </w:r>
      <w:r w:rsidR="00D1268A" w:rsidRPr="00D1268A">
        <w:rPr>
          <w:rFonts w:ascii="Times New Roman" w:hAnsi="Times New Roman" w:cs="Times New Roman"/>
          <w:bCs/>
          <w:sz w:val="24"/>
          <w:szCs w:val="24"/>
        </w:rPr>
        <w:t>at-Nya yang datang dengan iman.</w:t>
      </w:r>
      <w:r w:rsidR="00D1268A" w:rsidRPr="00D1268A">
        <w:rPr>
          <w:rStyle w:val="FootnoteReference"/>
          <w:rFonts w:ascii="Times New Roman" w:hAnsi="Times New Roman" w:cs="Times New Roman"/>
          <w:bCs/>
          <w:sz w:val="24"/>
          <w:szCs w:val="24"/>
        </w:rPr>
        <w:footnoteReference w:id="35"/>
      </w:r>
      <w:r w:rsidRPr="00D1268A">
        <w:rPr>
          <w:rFonts w:ascii="Times New Roman" w:hAnsi="Times New Roman" w:cs="Times New Roman"/>
          <w:bCs/>
          <w:sz w:val="24"/>
          <w:szCs w:val="24"/>
        </w:rPr>
        <w:t xml:space="preserve"> Ia berfungsi sebagai sarana anugerah (</w:t>
      </w:r>
      <w:r w:rsidRPr="00D1268A">
        <w:rPr>
          <w:rFonts w:ascii="Times New Roman" w:hAnsi="Times New Roman" w:cs="Times New Roman"/>
          <w:bCs/>
          <w:i/>
          <w:iCs/>
          <w:sz w:val="24"/>
          <w:szCs w:val="24"/>
        </w:rPr>
        <w:t>means of grace</w:t>
      </w:r>
      <w:r w:rsidRPr="00D1268A">
        <w:rPr>
          <w:rFonts w:ascii="Times New Roman" w:hAnsi="Times New Roman" w:cs="Times New Roman"/>
          <w:bCs/>
          <w:sz w:val="24"/>
          <w:szCs w:val="24"/>
        </w:rPr>
        <w:t>) yang efektif untuk memelihara dan menumbuhkan kehidupan rohani orang percaya.</w:t>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Dalam Perjamuan Kudus, berbagai aspek teologis yang penting bertemu secara indah: peringatan akan pengorbanan Kristus yang sekali untuk selamanya (</w:t>
      </w:r>
      <w:r w:rsidRPr="00D1268A">
        <w:rPr>
          <w:rFonts w:ascii="Times New Roman" w:hAnsi="Times New Roman" w:cs="Times New Roman"/>
          <w:bCs/>
          <w:i/>
          <w:iCs/>
          <w:sz w:val="24"/>
          <w:szCs w:val="24"/>
        </w:rPr>
        <w:t>anamnesis</w:t>
      </w:r>
      <w:r w:rsidRPr="00D1268A">
        <w:rPr>
          <w:rFonts w:ascii="Times New Roman" w:hAnsi="Times New Roman" w:cs="Times New Roman"/>
          <w:bCs/>
          <w:sz w:val="24"/>
          <w:szCs w:val="24"/>
        </w:rPr>
        <w:t>), pemberitaan kematian Tuhan kepada dunia, persekutuan yang mendalam baik dengan Kristus (vertikal) maupun dengan sesama percaya (horizontal), penguatan iman, dimensi eskatologis sebagai antisipasi Perjamuan Kawin Anak Domba, serta panggilan untuk disiplin dan kekudusan</w:t>
      </w:r>
      <w:r w:rsidR="00D1268A" w:rsidRPr="00D1268A">
        <w:rPr>
          <w:rFonts w:ascii="Times New Roman" w:hAnsi="Times New Roman" w:cs="Times New Roman"/>
          <w:bCs/>
          <w:sz w:val="24"/>
          <w:szCs w:val="24"/>
        </w:rPr>
        <w:t xml:space="preserve"> hidup.</w:t>
      </w:r>
      <w:r w:rsidR="00D1268A" w:rsidRPr="00D1268A">
        <w:rPr>
          <w:rStyle w:val="FootnoteReference"/>
          <w:rFonts w:ascii="Times New Roman" w:hAnsi="Times New Roman" w:cs="Times New Roman"/>
          <w:bCs/>
          <w:sz w:val="24"/>
          <w:szCs w:val="24"/>
        </w:rPr>
        <w:footnoteReference w:id="36"/>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Bagi gereja masa kini, khususnya di Indonesia, terdapat beberapa tantangan dan kebutuhan mendesak. Pertama, diperlukan pengajaran yang lebih mendalam dan berkelanjutan tentang makna Perjamuan Kudus, sehingga jemaat tidak lagi memandangnya sebagai ritual kosong atau acara rutin semata. Kedua, frekuensi perayaan Perjamuan Kudus harus seimbang tidak terlalu jarang sehingga maknanya pudar, tetapi juga tidak dilakukan tanpa persiapan rohani yang memadai. Ketiga, penekanan yang kuat harus diberikan pada pemeriksaan diri (</w:t>
      </w:r>
      <w:r w:rsidRPr="00D1268A">
        <w:rPr>
          <w:rFonts w:ascii="Times New Roman" w:hAnsi="Times New Roman" w:cs="Times New Roman"/>
          <w:bCs/>
          <w:i/>
          <w:iCs/>
          <w:sz w:val="24"/>
          <w:szCs w:val="24"/>
        </w:rPr>
        <w:t>self-examination</w:t>
      </w:r>
      <w:r w:rsidRPr="00D1268A">
        <w:rPr>
          <w:rFonts w:ascii="Times New Roman" w:hAnsi="Times New Roman" w:cs="Times New Roman"/>
          <w:bCs/>
          <w:sz w:val="24"/>
          <w:szCs w:val="24"/>
        </w:rPr>
        <w:t xml:space="preserve">) dan disiplin gereja, karena sikap </w:t>
      </w:r>
      <w:r w:rsidRPr="00D1268A">
        <w:rPr>
          <w:rFonts w:ascii="Times New Roman" w:hAnsi="Times New Roman" w:cs="Times New Roman"/>
          <w:bCs/>
          <w:sz w:val="24"/>
          <w:szCs w:val="24"/>
        </w:rPr>
        <w:lastRenderedPageBreak/>
        <w:t>yang tidak layak justru dapat mendatangkan penghukuman ilahi, sepert</w:t>
      </w:r>
      <w:r w:rsidR="00D1268A" w:rsidRPr="00D1268A">
        <w:rPr>
          <w:rFonts w:ascii="Times New Roman" w:hAnsi="Times New Roman" w:cs="Times New Roman"/>
          <w:bCs/>
          <w:sz w:val="24"/>
          <w:szCs w:val="24"/>
        </w:rPr>
        <w:t>i yang dialami jemaat Korintus.</w:t>
      </w:r>
      <w:r w:rsidR="00D1268A" w:rsidRPr="00D1268A">
        <w:rPr>
          <w:rStyle w:val="FootnoteReference"/>
          <w:rFonts w:ascii="Times New Roman" w:hAnsi="Times New Roman" w:cs="Times New Roman"/>
          <w:bCs/>
          <w:sz w:val="24"/>
          <w:szCs w:val="24"/>
        </w:rPr>
        <w:footnoteReference w:id="37"/>
      </w:r>
    </w:p>
    <w:p w:rsidR="001179DD" w:rsidRPr="00D1268A" w:rsidRDefault="001179DD" w:rsidP="00D6218F">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Akhirnya, Perjamuan Kudus harus dipulihkan sebagai sumber kehidupan rohani yang sejati. Ketika dirayakan dengan pemahaman yang benar, dengan iman yang hidup, dan dengan hati yang rendah, Perjamuan Kudus akan menjadi sarana yang sangat powerful untuk memperkuat iman, memelihara kesatuan gereja, membangkitkan kasih persaudaraan, dan mengarahkan pandangan umat Allah kepada kedatangan Kristus yang kedua kali dalam kemuliaan. Dengan demikian, Perjamuan Kudus bukan lagi menjadi sebab penghukuman, melainkan menjadi berkat dan kekuatan rohani yang sungguh-sung</w:t>
      </w:r>
      <w:r w:rsidR="00D1268A" w:rsidRPr="00D1268A">
        <w:rPr>
          <w:rFonts w:ascii="Times New Roman" w:hAnsi="Times New Roman" w:cs="Times New Roman"/>
          <w:bCs/>
          <w:sz w:val="24"/>
          <w:szCs w:val="24"/>
        </w:rPr>
        <w:t>guh bagi tubuh Kristus di bumi.</w:t>
      </w:r>
      <w:r w:rsidR="00D1268A" w:rsidRPr="00D1268A">
        <w:rPr>
          <w:rStyle w:val="FootnoteReference"/>
          <w:rFonts w:ascii="Times New Roman" w:hAnsi="Times New Roman" w:cs="Times New Roman"/>
          <w:bCs/>
          <w:sz w:val="24"/>
          <w:szCs w:val="24"/>
        </w:rPr>
        <w:footnoteReference w:id="38"/>
      </w:r>
    </w:p>
    <w:p w:rsidR="001179DD" w:rsidRPr="00D1268A" w:rsidRDefault="001179DD" w:rsidP="00FC7B9C">
      <w:pPr>
        <w:spacing w:line="276" w:lineRule="auto"/>
        <w:ind w:firstLine="720"/>
        <w:jc w:val="both"/>
        <w:rPr>
          <w:rFonts w:ascii="Times New Roman" w:hAnsi="Times New Roman" w:cs="Times New Roman"/>
          <w:bCs/>
          <w:sz w:val="24"/>
          <w:szCs w:val="24"/>
        </w:rPr>
      </w:pPr>
      <w:r w:rsidRPr="00D1268A">
        <w:rPr>
          <w:rFonts w:ascii="Times New Roman" w:hAnsi="Times New Roman" w:cs="Times New Roman"/>
          <w:bCs/>
          <w:sz w:val="24"/>
          <w:szCs w:val="24"/>
        </w:rPr>
        <w:t>Semoga gereja Tuhan di Indonesia semakin bertumbuh dalam pemahaman dan pengalaman yang lebih dalam akan Perjamuan Kudus, sehingga semakin memuliakan Tuhan dan menjadi saksi yang kuat di tengah masyarakat.</w:t>
      </w:r>
    </w:p>
    <w:p w:rsidR="00D1268A" w:rsidRPr="00D1268A" w:rsidRDefault="00D1268A"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Daftar Pustaka</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Andrian, Tonny. “Kajian Teologis Praktik Sakramen Perjamuan Kudus.” </w:t>
      </w:r>
      <w:r w:rsidRPr="00D1268A">
        <w:rPr>
          <w:rFonts w:ascii="Times New Roman" w:hAnsi="Times New Roman" w:cs="Times New Roman"/>
          <w:i/>
          <w:iCs/>
          <w:sz w:val="24"/>
          <w:szCs w:val="24"/>
        </w:rPr>
        <w:t>Kharisma: Jurnal Ilmiah Teologi</w:t>
      </w:r>
      <w:r w:rsidRPr="00D1268A">
        <w:rPr>
          <w:rFonts w:ascii="Times New Roman" w:hAnsi="Times New Roman" w:cs="Times New Roman"/>
          <w:sz w:val="24"/>
          <w:szCs w:val="24"/>
        </w:rPr>
        <w:t xml:space="preserve"> Vol. 2 No. 1 (2021): 29–60.</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Berkhof, Louis. </w:t>
      </w:r>
      <w:r w:rsidRPr="00D1268A">
        <w:rPr>
          <w:rFonts w:ascii="Times New Roman" w:hAnsi="Times New Roman" w:cs="Times New Roman"/>
          <w:i/>
          <w:iCs/>
          <w:sz w:val="24"/>
          <w:szCs w:val="24"/>
        </w:rPr>
        <w:t>Teologi Sistematika</w:t>
      </w:r>
      <w:r w:rsidRPr="00D1268A">
        <w:rPr>
          <w:rFonts w:ascii="Times New Roman" w:hAnsi="Times New Roman" w:cs="Times New Roman"/>
          <w:sz w:val="24"/>
          <w:szCs w:val="24"/>
        </w:rPr>
        <w:t>. Jilid 2. Diterjemahkan oleh .... Jakarta: Lembaga Reformed Injili Indonesia, 1995.</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Calvin, Yohanes. </w:t>
      </w:r>
      <w:r w:rsidRPr="00D1268A">
        <w:rPr>
          <w:rFonts w:ascii="Times New Roman" w:hAnsi="Times New Roman" w:cs="Times New Roman"/>
          <w:i/>
          <w:iCs/>
          <w:sz w:val="24"/>
          <w:szCs w:val="24"/>
        </w:rPr>
        <w:t>Institusi Agama Kristen</w:t>
      </w:r>
      <w:r w:rsidRPr="00D1268A">
        <w:rPr>
          <w:rFonts w:ascii="Times New Roman" w:hAnsi="Times New Roman" w:cs="Times New Roman"/>
          <w:sz w:val="24"/>
          <w:szCs w:val="24"/>
        </w:rPr>
        <w:t>. Buku IV.17.38–44. Diterjemahkan oleh .... Jakarta: BPK Gunung Mulia, 2018.</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 </w:t>
      </w:r>
      <w:r w:rsidRPr="00D1268A">
        <w:rPr>
          <w:rFonts w:ascii="Times New Roman" w:hAnsi="Times New Roman" w:cs="Times New Roman"/>
          <w:i/>
          <w:iCs/>
          <w:sz w:val="24"/>
          <w:szCs w:val="24"/>
        </w:rPr>
        <w:t>Institutes of the Christian Religion</w:t>
      </w:r>
      <w:r w:rsidRPr="00D1268A">
        <w:rPr>
          <w:rFonts w:ascii="Times New Roman" w:hAnsi="Times New Roman" w:cs="Times New Roman"/>
          <w:sz w:val="24"/>
          <w:szCs w:val="24"/>
        </w:rPr>
        <w:t>. IV.17.5.</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Duryadi, Martinus. </w:t>
      </w:r>
      <w:r w:rsidRPr="00D1268A">
        <w:rPr>
          <w:rFonts w:ascii="Times New Roman" w:hAnsi="Times New Roman" w:cs="Times New Roman"/>
          <w:i/>
          <w:iCs/>
          <w:sz w:val="24"/>
          <w:szCs w:val="24"/>
        </w:rPr>
        <w:t>Metode Penelitian Teologi</w:t>
      </w:r>
      <w:r w:rsidRPr="00D1268A">
        <w:rPr>
          <w:rFonts w:ascii="Times New Roman" w:hAnsi="Times New Roman" w:cs="Times New Roman"/>
          <w:sz w:val="24"/>
          <w:szCs w:val="24"/>
        </w:rPr>
        <w:t>. Jakarta: Moriah Press, 2023.</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lastRenderedPageBreak/>
        <w:t xml:space="preserve">Erickson, Millard J. </w:t>
      </w:r>
      <w:r w:rsidRPr="00D1268A">
        <w:rPr>
          <w:rFonts w:ascii="Times New Roman" w:hAnsi="Times New Roman" w:cs="Times New Roman"/>
          <w:i/>
          <w:iCs/>
          <w:sz w:val="24"/>
          <w:szCs w:val="24"/>
        </w:rPr>
        <w:t>Teologi Kristen</w:t>
      </w:r>
      <w:r w:rsidRPr="00D1268A">
        <w:rPr>
          <w:rFonts w:ascii="Times New Roman" w:hAnsi="Times New Roman" w:cs="Times New Roman"/>
          <w:sz w:val="24"/>
          <w:szCs w:val="24"/>
        </w:rPr>
        <w:t>. Jilid 2. Diterjemahkan oleh .... Malang: Gandum Mas, 2003.</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Ligawan, Andry Saputra. </w:t>
      </w:r>
      <w:r w:rsidRPr="00D1268A">
        <w:rPr>
          <w:rFonts w:ascii="Times New Roman" w:hAnsi="Times New Roman" w:cs="Times New Roman"/>
          <w:i/>
          <w:iCs/>
          <w:sz w:val="24"/>
          <w:szCs w:val="24"/>
        </w:rPr>
        <w:t>Perjamuan Kudus: Hakikat dan Makna Menurut John Calvin</w:t>
      </w:r>
      <w:r w:rsidRPr="00D1268A">
        <w:rPr>
          <w:rFonts w:ascii="Times New Roman" w:hAnsi="Times New Roman" w:cs="Times New Roman"/>
          <w:sz w:val="24"/>
          <w:szCs w:val="24"/>
        </w:rPr>
        <w:t>. Jakarta: Sekolah Tinggi Teologi Aletheia, 2024.</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Luther, Martin. </w:t>
      </w:r>
      <w:r w:rsidRPr="00D1268A">
        <w:rPr>
          <w:rFonts w:ascii="Times New Roman" w:hAnsi="Times New Roman" w:cs="Times New Roman"/>
          <w:i/>
          <w:iCs/>
          <w:sz w:val="24"/>
          <w:szCs w:val="24"/>
        </w:rPr>
        <w:t>The Babylonian Captivity of the Church</w:t>
      </w:r>
      <w:r w:rsidRPr="00D1268A">
        <w:rPr>
          <w:rFonts w:ascii="Times New Roman" w:hAnsi="Times New Roman" w:cs="Times New Roman"/>
          <w:sz w:val="24"/>
          <w:szCs w:val="24"/>
        </w:rPr>
        <w:t xml:space="preserve"> (1520). Diterjemahkan dalam </w:t>
      </w:r>
      <w:r w:rsidRPr="00D1268A">
        <w:rPr>
          <w:rFonts w:ascii="Times New Roman" w:hAnsi="Times New Roman" w:cs="Times New Roman"/>
          <w:i/>
          <w:iCs/>
          <w:sz w:val="24"/>
          <w:szCs w:val="24"/>
        </w:rPr>
        <w:t>Buku-buku Utama Luther</w:t>
      </w:r>
      <w:r w:rsidRPr="00D1268A">
        <w:rPr>
          <w:rFonts w:ascii="Times New Roman" w:hAnsi="Times New Roman" w:cs="Times New Roman"/>
          <w:sz w:val="24"/>
          <w:szCs w:val="24"/>
        </w:rPr>
        <w:t>. Jakarta: BPK Gunung Mulia, 2017.</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Mulia, Hendra G. </w:t>
      </w:r>
      <w:r w:rsidRPr="00D1268A">
        <w:rPr>
          <w:rFonts w:ascii="Times New Roman" w:hAnsi="Times New Roman" w:cs="Times New Roman"/>
          <w:i/>
          <w:iCs/>
          <w:sz w:val="24"/>
          <w:szCs w:val="24"/>
        </w:rPr>
        <w:t>Menikmati Perjamuan Kudus: Pengajaran Perjamuan Kudus menurut John Calvin dan Sumbangsihnya bagi Kehidupan Bergereja</w:t>
      </w:r>
      <w:r w:rsidRPr="00D1268A">
        <w:rPr>
          <w:rFonts w:ascii="Times New Roman" w:hAnsi="Times New Roman" w:cs="Times New Roman"/>
          <w:sz w:val="24"/>
          <w:szCs w:val="24"/>
        </w:rPr>
        <w:t>. Jakarta: Sekolah Tinggi Teologi Reformed Indonesia, 2007.</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Sagala, H.I. “Makna Esensial dan Tujuan Utama Sakramen Perjamuan Kudus.” </w:t>
      </w:r>
      <w:r w:rsidRPr="00D1268A">
        <w:rPr>
          <w:rFonts w:ascii="Times New Roman" w:hAnsi="Times New Roman" w:cs="Times New Roman"/>
          <w:i/>
          <w:iCs/>
          <w:sz w:val="24"/>
          <w:szCs w:val="24"/>
        </w:rPr>
        <w:t>Jurnal Didache</w:t>
      </w:r>
      <w:r w:rsidRPr="00D1268A">
        <w:rPr>
          <w:rFonts w:ascii="Times New Roman" w:hAnsi="Times New Roman" w:cs="Times New Roman"/>
          <w:sz w:val="24"/>
          <w:szCs w:val="24"/>
        </w:rPr>
        <w:t xml:space="preserve"> (2024).</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Sitompul, A.A. dan Ulrich Beyer. </w:t>
      </w:r>
      <w:r w:rsidRPr="00D1268A">
        <w:rPr>
          <w:rFonts w:ascii="Times New Roman" w:hAnsi="Times New Roman" w:cs="Times New Roman"/>
          <w:i/>
          <w:iCs/>
          <w:sz w:val="24"/>
          <w:szCs w:val="24"/>
        </w:rPr>
        <w:t>Metode Penafsiran Alkitab</w:t>
      </w:r>
      <w:r w:rsidRPr="00D1268A">
        <w:rPr>
          <w:rFonts w:ascii="Times New Roman" w:hAnsi="Times New Roman" w:cs="Times New Roman"/>
          <w:sz w:val="24"/>
          <w:szCs w:val="24"/>
        </w:rPr>
        <w:t>. Jakarta: BPK Gunung Mulia, 2012.</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Widyawati, A. </w:t>
      </w:r>
      <w:r w:rsidRPr="00D1268A">
        <w:rPr>
          <w:rFonts w:ascii="Times New Roman" w:hAnsi="Times New Roman" w:cs="Times New Roman"/>
          <w:i/>
          <w:iCs/>
          <w:sz w:val="24"/>
          <w:szCs w:val="24"/>
        </w:rPr>
        <w:t>Sakramen-Sakramen Gereja Katolik</w:t>
      </w:r>
      <w:r w:rsidRPr="00D1268A">
        <w:rPr>
          <w:rFonts w:ascii="Times New Roman" w:hAnsi="Times New Roman" w:cs="Times New Roman"/>
          <w:sz w:val="24"/>
          <w:szCs w:val="24"/>
        </w:rPr>
        <w:t>. Yogyakarta: Kanisius, 2018.</w:t>
      </w:r>
    </w:p>
    <w:p w:rsidR="00D1268A" w:rsidRPr="00D1268A" w:rsidRDefault="00D1268A" w:rsidP="00D6218F">
      <w:pPr>
        <w:spacing w:line="276" w:lineRule="auto"/>
        <w:ind w:left="1418" w:hanging="709"/>
        <w:jc w:val="both"/>
        <w:rPr>
          <w:rFonts w:ascii="Times New Roman" w:hAnsi="Times New Roman" w:cs="Times New Roman"/>
          <w:sz w:val="24"/>
          <w:szCs w:val="24"/>
        </w:rPr>
      </w:pPr>
      <w:r w:rsidRPr="00D1268A">
        <w:rPr>
          <w:rFonts w:ascii="Times New Roman" w:hAnsi="Times New Roman" w:cs="Times New Roman"/>
          <w:sz w:val="24"/>
          <w:szCs w:val="24"/>
        </w:rPr>
        <w:t xml:space="preserve">Zwingli, Ulrich. </w:t>
      </w:r>
      <w:r w:rsidRPr="00D1268A">
        <w:rPr>
          <w:rFonts w:ascii="Times New Roman" w:hAnsi="Times New Roman" w:cs="Times New Roman"/>
          <w:i/>
          <w:iCs/>
          <w:sz w:val="24"/>
          <w:szCs w:val="24"/>
        </w:rPr>
        <w:t>On the Lord’s Supper</w:t>
      </w:r>
      <w:r w:rsidRPr="00D1268A">
        <w:rPr>
          <w:rFonts w:ascii="Times New Roman" w:hAnsi="Times New Roman" w:cs="Times New Roman"/>
          <w:sz w:val="24"/>
          <w:szCs w:val="24"/>
        </w:rPr>
        <w:t xml:space="preserve">. Dikutip dalam Tony Lane, </w:t>
      </w:r>
      <w:r w:rsidRPr="00D1268A">
        <w:rPr>
          <w:rFonts w:ascii="Times New Roman" w:hAnsi="Times New Roman" w:cs="Times New Roman"/>
          <w:i/>
          <w:iCs/>
          <w:sz w:val="24"/>
          <w:szCs w:val="24"/>
        </w:rPr>
        <w:t>Sejarah Pemikiran Kristen</w:t>
      </w:r>
      <w:r w:rsidRPr="00D1268A">
        <w:rPr>
          <w:rFonts w:ascii="Times New Roman" w:hAnsi="Times New Roman" w:cs="Times New Roman"/>
          <w:sz w:val="24"/>
          <w:szCs w:val="24"/>
        </w:rPr>
        <w:t>. Diterjemahkan oleh .... Malang: SAAT, 2005.</w:t>
      </w:r>
    </w:p>
    <w:p w:rsidR="00D1268A" w:rsidRDefault="00D1268A" w:rsidP="00D6218F">
      <w:pPr>
        <w:spacing w:line="276" w:lineRule="auto"/>
        <w:jc w:val="both"/>
        <w:rPr>
          <w:rFonts w:ascii="Times New Roman" w:hAnsi="Times New Roman" w:cs="Times New Roman"/>
          <w:b/>
          <w:bCs/>
          <w:sz w:val="24"/>
          <w:szCs w:val="24"/>
        </w:rPr>
      </w:pPr>
    </w:p>
    <w:p w:rsidR="00D1268A" w:rsidRPr="00D1268A" w:rsidRDefault="00D1268A" w:rsidP="00D6218F">
      <w:pPr>
        <w:spacing w:line="276" w:lineRule="auto"/>
        <w:jc w:val="both"/>
        <w:rPr>
          <w:rFonts w:ascii="Times New Roman" w:hAnsi="Times New Roman" w:cs="Times New Roman"/>
          <w:b/>
          <w:bCs/>
          <w:sz w:val="24"/>
          <w:szCs w:val="24"/>
        </w:rPr>
      </w:pPr>
      <w:r w:rsidRPr="00D1268A">
        <w:rPr>
          <w:rFonts w:ascii="Times New Roman" w:hAnsi="Times New Roman" w:cs="Times New Roman"/>
          <w:b/>
          <w:bCs/>
          <w:sz w:val="24"/>
          <w:szCs w:val="24"/>
        </w:rPr>
        <w:t>Alkitab</w:t>
      </w:r>
    </w:p>
    <w:p w:rsidR="00D1268A" w:rsidRPr="00D1268A" w:rsidRDefault="00D1268A" w:rsidP="00D6218F">
      <w:pPr>
        <w:spacing w:line="276" w:lineRule="auto"/>
        <w:ind w:left="1418"/>
        <w:jc w:val="both"/>
        <w:rPr>
          <w:rFonts w:ascii="Times New Roman" w:hAnsi="Times New Roman" w:cs="Times New Roman"/>
          <w:sz w:val="24"/>
          <w:szCs w:val="24"/>
        </w:rPr>
      </w:pPr>
      <w:r w:rsidRPr="00D1268A">
        <w:rPr>
          <w:rFonts w:ascii="Times New Roman" w:hAnsi="Times New Roman" w:cs="Times New Roman"/>
          <w:i/>
          <w:iCs/>
          <w:sz w:val="24"/>
          <w:szCs w:val="24"/>
        </w:rPr>
        <w:t>Alkitab Terjemahan Baru</w:t>
      </w:r>
      <w:r w:rsidRPr="00D1268A">
        <w:rPr>
          <w:rFonts w:ascii="Times New Roman" w:hAnsi="Times New Roman" w:cs="Times New Roman"/>
          <w:sz w:val="24"/>
          <w:szCs w:val="24"/>
        </w:rPr>
        <w:t>. Jakarta: Lembaga Alkitab Indonesia, 1974.</w:t>
      </w:r>
    </w:p>
    <w:p w:rsidR="00347115" w:rsidRPr="00D1268A" w:rsidRDefault="00347115" w:rsidP="00D6218F">
      <w:pPr>
        <w:spacing w:line="276" w:lineRule="auto"/>
        <w:jc w:val="both"/>
        <w:rPr>
          <w:rFonts w:ascii="Times New Roman" w:hAnsi="Times New Roman" w:cs="Times New Roman"/>
          <w:sz w:val="24"/>
          <w:szCs w:val="24"/>
        </w:rPr>
      </w:pPr>
    </w:p>
    <w:sectPr w:rsidR="00347115" w:rsidRPr="00D1268A" w:rsidSect="00FC7B9C">
      <w:headerReference w:type="default" r:id="rId8"/>
      <w:footerReference w:type="default" r:id="rId9"/>
      <w:pgSz w:w="10318" w:h="14570" w:code="13"/>
      <w:pgMar w:top="1440" w:right="1440" w:bottom="1440" w:left="1440" w:header="708" w:footer="708"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427" w:rsidRDefault="00634427" w:rsidP="00945EAA">
      <w:pPr>
        <w:spacing w:after="0" w:line="240" w:lineRule="auto"/>
      </w:pPr>
      <w:r>
        <w:separator/>
      </w:r>
    </w:p>
  </w:endnote>
  <w:endnote w:type="continuationSeparator" w:id="0">
    <w:p w:rsidR="00634427" w:rsidRDefault="00634427" w:rsidP="00945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96694"/>
      <w:docPartObj>
        <w:docPartGallery w:val="Page Numbers (Bottom of Page)"/>
        <w:docPartUnique/>
      </w:docPartObj>
    </w:sdtPr>
    <w:sdtEndPr>
      <w:rPr>
        <w:noProof/>
      </w:rPr>
    </w:sdtEndPr>
    <w:sdtContent>
      <w:p w:rsidR="00FC7B9C" w:rsidRDefault="00FC7B9C">
        <w:pPr>
          <w:pStyle w:val="Footer"/>
          <w:jc w:val="center"/>
        </w:pPr>
        <w:r>
          <w:fldChar w:fldCharType="begin"/>
        </w:r>
        <w:r>
          <w:instrText xml:space="preserve"> PAGE   \* MERGEFORMAT </w:instrText>
        </w:r>
        <w:r>
          <w:fldChar w:fldCharType="separate"/>
        </w:r>
        <w:r w:rsidR="00AE4351">
          <w:rPr>
            <w:noProof/>
          </w:rPr>
          <w:t>16</w:t>
        </w:r>
        <w:r>
          <w:rPr>
            <w:noProof/>
          </w:rPr>
          <w:fldChar w:fldCharType="end"/>
        </w:r>
      </w:p>
    </w:sdtContent>
  </w:sdt>
  <w:p w:rsidR="00FC7B9C" w:rsidRDefault="00FC7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427" w:rsidRDefault="00634427" w:rsidP="00945EAA">
      <w:pPr>
        <w:spacing w:after="0" w:line="240" w:lineRule="auto"/>
      </w:pPr>
      <w:r>
        <w:separator/>
      </w:r>
    </w:p>
  </w:footnote>
  <w:footnote w:type="continuationSeparator" w:id="0">
    <w:p w:rsidR="00634427" w:rsidRDefault="00634427" w:rsidP="00945EAA">
      <w:pPr>
        <w:spacing w:after="0" w:line="240" w:lineRule="auto"/>
      </w:pPr>
      <w:r>
        <w:continuationSeparator/>
      </w:r>
    </w:p>
  </w:footnote>
  <w:footnote w:id="1">
    <w:p w:rsidR="007728AE" w:rsidRDefault="007728AE" w:rsidP="007728AE">
      <w:pPr>
        <w:pStyle w:val="FootnoteText"/>
        <w:ind w:firstLine="720"/>
      </w:pPr>
      <w:r>
        <w:rPr>
          <w:rStyle w:val="FootnoteReference"/>
        </w:rPr>
        <w:footnoteRef/>
      </w:r>
      <w:r w:rsidRPr="007728AE">
        <w:t>Hendra G. Mulia, Menikmati Perjamuan Kudus: Pengajaran Perjamuan Kudus menurut John Calvin dan Sumbangsihnya bagi Kehidupan Bergereja (Jakarta: Sekolah Tinggi Teologi Reformed Indonesia, 2007), hlm. 12–25.</w:t>
      </w:r>
    </w:p>
  </w:footnote>
  <w:footnote w:id="2">
    <w:p w:rsidR="007728AE" w:rsidRDefault="007728AE" w:rsidP="007728AE">
      <w:pPr>
        <w:pStyle w:val="FootnoteText"/>
        <w:ind w:firstLine="720"/>
      </w:pPr>
      <w:r>
        <w:rPr>
          <w:rStyle w:val="FootnoteReference"/>
        </w:rPr>
        <w:footnoteRef/>
      </w:r>
      <w:r w:rsidRPr="007728AE">
        <w:t>Matius 26:26-28; Markus 14:22-24; Lukas 22:19-20; 1 Korintus 11:23-25.</w:t>
      </w:r>
    </w:p>
  </w:footnote>
  <w:footnote w:id="3">
    <w:p w:rsidR="007728AE" w:rsidRDefault="007728AE" w:rsidP="007728AE">
      <w:pPr>
        <w:pStyle w:val="FootnoteText"/>
        <w:ind w:firstLine="720"/>
      </w:pPr>
      <w:r>
        <w:rPr>
          <w:rStyle w:val="FootnoteReference"/>
        </w:rPr>
        <w:footnoteRef/>
      </w:r>
      <w:r w:rsidRPr="007728AE">
        <w:t>Andry Saputra Ligawan, Perjamuan Kudus: Hakikat dan Makna Menurut John Calvin (Sekolah Tinggi Teologi Aletheia, 2024), hlm. 34–38.</w:t>
      </w:r>
    </w:p>
  </w:footnote>
  <w:footnote w:id="4">
    <w:p w:rsidR="007728AE" w:rsidRDefault="007728AE" w:rsidP="007728AE">
      <w:pPr>
        <w:pStyle w:val="FootnoteText"/>
        <w:ind w:firstLine="720"/>
      </w:pPr>
      <w:r>
        <w:rPr>
          <w:rStyle w:val="FootnoteReference"/>
        </w:rPr>
        <w:footnoteRef/>
      </w:r>
      <w:r w:rsidRPr="007728AE">
        <w:t>Ibid., hlm. 39–42.</w:t>
      </w:r>
    </w:p>
  </w:footnote>
  <w:footnote w:id="5">
    <w:p w:rsidR="007728AE" w:rsidRDefault="007728AE" w:rsidP="007728AE">
      <w:pPr>
        <w:pStyle w:val="FootnoteText"/>
        <w:ind w:firstLine="720"/>
      </w:pPr>
      <w:r>
        <w:rPr>
          <w:rStyle w:val="FootnoteReference"/>
        </w:rPr>
        <w:footnoteRef/>
      </w:r>
      <w:r w:rsidRPr="007728AE">
        <w:t>Martin Luther, The Babylonian Captivity of the Church (1520), sebagaimana dibahas dalam Hendra G. Mulia, Menikmati Perjamuan Kudus, hlm. 45–52.</w:t>
      </w:r>
    </w:p>
  </w:footnote>
  <w:footnote w:id="6">
    <w:p w:rsidR="007728AE" w:rsidRDefault="007728AE" w:rsidP="007728AE">
      <w:pPr>
        <w:pStyle w:val="FootnoteText"/>
        <w:ind w:firstLine="720"/>
      </w:pPr>
      <w:r>
        <w:rPr>
          <w:rStyle w:val="FootnoteReference"/>
        </w:rPr>
        <w:footnoteRef/>
      </w:r>
      <w:r w:rsidRPr="007728AE">
        <w:t>Andry Saputra Ligawan, Perjamuan Kudus: Hakikat dan Makna Menurut John Calvin, hlm. 60–85.</w:t>
      </w:r>
    </w:p>
  </w:footnote>
  <w:footnote w:id="7">
    <w:p w:rsidR="007728AE" w:rsidRDefault="007728AE" w:rsidP="007728AE">
      <w:pPr>
        <w:pStyle w:val="FootnoteText"/>
        <w:ind w:firstLine="720"/>
      </w:pPr>
      <w:r>
        <w:rPr>
          <w:rStyle w:val="FootnoteReference"/>
        </w:rPr>
        <w:footnoteRef/>
      </w:r>
      <w:r w:rsidRPr="007728AE">
        <w:t>Yohanes Calvin, Institutes of the Christian Religion, IV.17.5, sebagaimana diuraikan dalam Hendra G. Mulia, Menikmati Perjamuan Kudus, hlm. 78–92.</w:t>
      </w:r>
    </w:p>
  </w:footnote>
  <w:footnote w:id="8">
    <w:p w:rsidR="007728AE" w:rsidRDefault="007728AE" w:rsidP="007728AE">
      <w:pPr>
        <w:pStyle w:val="FootnoteText"/>
        <w:ind w:firstLine="720"/>
      </w:pPr>
      <w:r>
        <w:rPr>
          <w:rStyle w:val="FootnoteReference"/>
        </w:rPr>
        <w:footnoteRef/>
      </w:r>
      <w:r w:rsidRPr="007728AE">
        <w:t>Martinus Duryadi, Metode Penelitian Teologi (Moriah Press, 2023), hlm. 78–85</w:t>
      </w:r>
    </w:p>
  </w:footnote>
  <w:footnote w:id="9">
    <w:p w:rsidR="007728AE" w:rsidRDefault="007728AE" w:rsidP="007728AE">
      <w:pPr>
        <w:pStyle w:val="FootnoteText"/>
        <w:ind w:firstLine="720"/>
      </w:pPr>
      <w:r>
        <w:rPr>
          <w:rStyle w:val="FootnoteReference"/>
        </w:rPr>
        <w:footnoteRef/>
      </w:r>
      <w:r w:rsidRPr="007728AE">
        <w:t>A.A. Sitompul dan Ulrich Beyer, Metode Penafsiran Alkitab (Jakarta: BPK Gunung Mulia, 2012), hlm. 112–135.</w:t>
      </w:r>
    </w:p>
  </w:footnote>
  <w:footnote w:id="10">
    <w:p w:rsidR="007728AE" w:rsidRDefault="007728AE" w:rsidP="007728AE">
      <w:pPr>
        <w:pStyle w:val="FootnoteText"/>
        <w:ind w:firstLine="720"/>
      </w:pPr>
      <w:r>
        <w:rPr>
          <w:rStyle w:val="FootnoteReference"/>
        </w:rPr>
        <w:footnoteRef/>
      </w:r>
      <w:r w:rsidRPr="007728AE">
        <w:t>Hendra G. Mulia, Menikmati Perjamuan Kudus: Pengajaran Perjamuan Kudus menurut John Calvin dan Sumbangsihnya bagi Kehidupan Bergereja (Jakarta: Sekolah Tinggi Teologi Reformed Indonesia, 2007), hlm. 28–35.</w:t>
      </w:r>
    </w:p>
  </w:footnote>
  <w:footnote w:id="11">
    <w:p w:rsidR="00D54F42" w:rsidRDefault="00D54F42" w:rsidP="00D54F42">
      <w:pPr>
        <w:pStyle w:val="FootnoteText"/>
        <w:ind w:firstLine="720"/>
      </w:pPr>
      <w:r>
        <w:rPr>
          <w:rStyle w:val="FootnoteReference"/>
        </w:rPr>
        <w:footnoteRef/>
      </w:r>
      <w:r w:rsidRPr="00D54F42">
        <w:t>Andry Saputra Ligawan, Perjamuan Kudus: Hakikat dan Makna Menurut John Calvin (Jakarta: Sekolah Tinggi Teologi Aletheia, 2024), hlm. 22-35.</w:t>
      </w:r>
    </w:p>
  </w:footnote>
  <w:footnote w:id="12">
    <w:p w:rsidR="00D54F42" w:rsidRDefault="00D54F42" w:rsidP="00D54F42">
      <w:pPr>
        <w:pStyle w:val="FootnoteText"/>
        <w:ind w:firstLine="720"/>
      </w:pPr>
      <w:r>
        <w:rPr>
          <w:rStyle w:val="FootnoteReference"/>
        </w:rPr>
        <w:footnoteRef/>
      </w:r>
      <w:r w:rsidRPr="00D54F42">
        <w:t>Alkitab Terjemahan Baru (Jakarta: Lembaga Alkitab Indonesia, 1974), Lukas 22:19; 1 Korintus 11:25.</w:t>
      </w:r>
    </w:p>
  </w:footnote>
  <w:footnote w:id="13">
    <w:p w:rsidR="00D54F42" w:rsidRDefault="00D54F42" w:rsidP="00D54F42">
      <w:pPr>
        <w:pStyle w:val="FootnoteText"/>
        <w:ind w:firstLine="720"/>
      </w:pPr>
      <w:r>
        <w:rPr>
          <w:rStyle w:val="FootnoteReference"/>
        </w:rPr>
        <w:footnoteRef/>
      </w:r>
      <w:r w:rsidRPr="00D54F42">
        <w:t>Louis Berkhof, Teologi Sistematika, jilid 2, terj. (Jakarta: Lembaga Reformed Injili Indonesia, 1995), hlm. 348-352.</w:t>
      </w:r>
    </w:p>
  </w:footnote>
  <w:footnote w:id="14">
    <w:p w:rsidR="00D54F42" w:rsidRDefault="00D54F42" w:rsidP="00D54F42">
      <w:pPr>
        <w:pStyle w:val="FootnoteText"/>
        <w:ind w:firstLine="720"/>
      </w:pPr>
      <w:r>
        <w:rPr>
          <w:rStyle w:val="FootnoteReference"/>
        </w:rPr>
        <w:footnoteRef/>
      </w:r>
      <w:r w:rsidRPr="00D54F42">
        <w:t>Tonny Andrian, “Kajian Teologis Praktik Sakramen Perjamuan Kudus,” Kharisma: Jurnal Ilmiah Teologi Vol. 2 No. 1 (2021), hlm. 29-32.</w:t>
      </w:r>
    </w:p>
  </w:footnote>
  <w:footnote w:id="15">
    <w:p w:rsidR="00D54F42" w:rsidRDefault="00D54F42" w:rsidP="00D54F42">
      <w:pPr>
        <w:pStyle w:val="FootnoteText"/>
        <w:ind w:firstLine="720"/>
      </w:pPr>
      <w:r>
        <w:rPr>
          <w:rStyle w:val="FootnoteReference"/>
        </w:rPr>
        <w:footnoteRef/>
      </w:r>
      <w:r w:rsidRPr="00D54F42">
        <w:t>Millard J. Erickson, Teologi Kristen, jilid 2, terj. (Malang: Gandum Mas, 2003), hlm. 1125-1130.</w:t>
      </w:r>
    </w:p>
  </w:footnote>
  <w:footnote w:id="16">
    <w:p w:rsidR="00D54F42" w:rsidRDefault="00D54F42" w:rsidP="00D54F42">
      <w:pPr>
        <w:pStyle w:val="FootnoteText"/>
        <w:ind w:firstLine="720"/>
      </w:pPr>
      <w:r>
        <w:rPr>
          <w:rStyle w:val="FootnoteReference"/>
        </w:rPr>
        <w:footnoteRef/>
      </w:r>
      <w:r w:rsidRPr="00D54F42">
        <w:t>Ibrani 8–10; lihat juga Andry Saputra Ligawan, Perjamuan Kudus, hlm. 48-55.</w:t>
      </w:r>
    </w:p>
  </w:footnote>
  <w:footnote w:id="17">
    <w:p w:rsidR="00D54F42" w:rsidRDefault="00D54F42" w:rsidP="00D54F42">
      <w:pPr>
        <w:pStyle w:val="FootnoteText"/>
        <w:ind w:firstLine="720"/>
      </w:pPr>
      <w:r>
        <w:rPr>
          <w:rStyle w:val="FootnoteReference"/>
        </w:rPr>
        <w:footnoteRef/>
      </w:r>
      <w:r w:rsidRPr="00D54F42">
        <w:t>H.I. Sagala, “Makna Esensial dan Tujuan Utama Sakramen Perjamuan Kudus,” Jurnal Didache (2024).</w:t>
      </w:r>
    </w:p>
  </w:footnote>
  <w:footnote w:id="18">
    <w:p w:rsidR="00D54F42" w:rsidRDefault="00D54F42" w:rsidP="00D54F42">
      <w:pPr>
        <w:pStyle w:val="FootnoteText"/>
        <w:ind w:firstLine="720"/>
      </w:pPr>
      <w:r>
        <w:rPr>
          <w:rStyle w:val="FootnoteReference"/>
        </w:rPr>
        <w:footnoteRef/>
      </w:r>
      <w:r w:rsidRPr="00D54F42">
        <w:t>A. Widyawati, Sakramen-Sakramen Gereja Katolik (Yogyakarta: Kanisius, 2018), hlm. 112-130.</w:t>
      </w:r>
    </w:p>
  </w:footnote>
  <w:footnote w:id="19">
    <w:p w:rsidR="00D54F42" w:rsidRDefault="00D54F42" w:rsidP="00D54F42">
      <w:pPr>
        <w:pStyle w:val="FootnoteText"/>
        <w:ind w:firstLine="720"/>
      </w:pPr>
      <w:r>
        <w:rPr>
          <w:rStyle w:val="FootnoteReference"/>
        </w:rPr>
        <w:footnoteRef/>
      </w:r>
      <w:r w:rsidRPr="00D54F42">
        <w:t>Louis Berkhof, Teologi Sistematika, jilid 2, terj. (Jakarta: Lembaga Reformed Injili Indonesia, 1995), hlm. 362-365.</w:t>
      </w:r>
    </w:p>
  </w:footnote>
  <w:footnote w:id="20">
    <w:p w:rsidR="00D54F42" w:rsidRDefault="00D54F42" w:rsidP="00D54F42">
      <w:pPr>
        <w:pStyle w:val="FootnoteText"/>
        <w:ind w:firstLine="720"/>
      </w:pPr>
      <w:r>
        <w:rPr>
          <w:rStyle w:val="FootnoteReference"/>
        </w:rPr>
        <w:footnoteRef/>
      </w:r>
      <w:r w:rsidRPr="00D54F42">
        <w:t>Martin Luther, The Babylonian Captivity of the Church, terj. dalam Buku-buku Utama Luther (Jakarta: BPK Gunung Mulia, 2017), hlm. 145-160</w:t>
      </w:r>
    </w:p>
  </w:footnote>
  <w:footnote w:id="21">
    <w:p w:rsidR="001179DD" w:rsidRDefault="001179DD" w:rsidP="001179DD">
      <w:pPr>
        <w:pStyle w:val="FootnoteText"/>
        <w:ind w:firstLine="720"/>
      </w:pPr>
      <w:r>
        <w:rPr>
          <w:rStyle w:val="FootnoteReference"/>
        </w:rPr>
        <w:footnoteRef/>
      </w:r>
      <w:r w:rsidRPr="001179DD">
        <w:t>Millard J. Erickson, Teologi Kristen, jilid 2, terj. (Malang: Gandum Mas, 2003), hlm. 1138-1142.</w:t>
      </w:r>
    </w:p>
  </w:footnote>
  <w:footnote w:id="22">
    <w:p w:rsidR="001179DD" w:rsidRDefault="001179DD" w:rsidP="001179DD">
      <w:pPr>
        <w:pStyle w:val="FootnoteText"/>
        <w:ind w:firstLine="720"/>
      </w:pPr>
      <w:r>
        <w:rPr>
          <w:rStyle w:val="FootnoteReference"/>
        </w:rPr>
        <w:footnoteRef/>
      </w:r>
      <w:r w:rsidRPr="001179DD">
        <w:t>Ulrich Zwingli, On the Lord’s Supper, dikutip dalam Tony Lane, Sejarah Pemikiran Kristen, terj. (Malang: SAAT, 2005), hlm. 289-292.</w:t>
      </w:r>
      <w:r>
        <w:t xml:space="preserve"> </w:t>
      </w:r>
    </w:p>
  </w:footnote>
  <w:footnote w:id="23">
    <w:p w:rsidR="001179DD" w:rsidRDefault="001179DD" w:rsidP="001179DD">
      <w:pPr>
        <w:pStyle w:val="FootnoteText"/>
        <w:ind w:firstLine="720"/>
      </w:pPr>
      <w:r>
        <w:rPr>
          <w:rStyle w:val="FootnoteReference"/>
        </w:rPr>
        <w:footnoteRef/>
      </w:r>
      <w:r w:rsidRPr="001179DD">
        <w:t>H.I. Sagala, “Makna Esensial dan Tujuan Utama Sakramen Perjamuan Kudus,” Jurnal Didache (2024), hlm. 45-48.</w:t>
      </w:r>
    </w:p>
  </w:footnote>
  <w:footnote w:id="24">
    <w:p w:rsidR="001179DD" w:rsidRDefault="001179DD" w:rsidP="001179DD">
      <w:pPr>
        <w:pStyle w:val="FootnoteText"/>
        <w:ind w:firstLine="720"/>
      </w:pPr>
      <w:r>
        <w:rPr>
          <w:rStyle w:val="FootnoteReference"/>
        </w:rPr>
        <w:footnoteRef/>
      </w:r>
      <w:r w:rsidRPr="001179DD">
        <w:t>Andry Saputra Ligawan, Perjamuan Kudus: Hakikat dan Makna Menurut John Calvin (Jakarta: Sekolah Tinggi Teologi Aletheia, 2024), hlm. 45-52.</w:t>
      </w:r>
    </w:p>
  </w:footnote>
  <w:footnote w:id="25">
    <w:p w:rsidR="001179DD" w:rsidRDefault="001179DD" w:rsidP="001179DD">
      <w:pPr>
        <w:pStyle w:val="FootnoteText"/>
        <w:ind w:firstLine="720"/>
      </w:pPr>
      <w:r>
        <w:rPr>
          <w:rStyle w:val="FootnoteReference"/>
        </w:rPr>
        <w:footnoteRef/>
      </w:r>
      <w:r w:rsidRPr="001179DD">
        <w:t>Louis Berkhof, Teologi Sistematika, jilid 2, terj. (Jakarta: Lembaga Reformed Injili Indonesia, 1995), hlm. 368-370.</w:t>
      </w:r>
    </w:p>
  </w:footnote>
  <w:footnote w:id="26">
    <w:p w:rsidR="001179DD" w:rsidRDefault="001179DD" w:rsidP="001179DD">
      <w:pPr>
        <w:pStyle w:val="FootnoteText"/>
        <w:ind w:firstLine="720"/>
      </w:pPr>
      <w:r>
        <w:rPr>
          <w:rStyle w:val="FootnoteReference"/>
        </w:rPr>
        <w:footnoteRef/>
      </w:r>
      <w:r w:rsidRPr="001179DD">
        <w:t>Millard J. Erickson, Teologi Kristen, jilid 2, terj. (Malang: Gandum Mas, 2003), hlm. 1145-1148.</w:t>
      </w:r>
    </w:p>
  </w:footnote>
  <w:footnote w:id="27">
    <w:p w:rsidR="001179DD" w:rsidRDefault="001179DD" w:rsidP="001179DD">
      <w:pPr>
        <w:pStyle w:val="FootnoteText"/>
        <w:ind w:firstLine="720"/>
      </w:pPr>
      <w:r>
        <w:rPr>
          <w:rStyle w:val="FootnoteReference"/>
        </w:rPr>
        <w:footnoteRef/>
      </w:r>
      <w:r w:rsidRPr="001179DD">
        <w:t>Yohanes Calvin, Institusi Agama Kristen, Buku IV.17.38-44, terj. (Jakarta: BPK Gunung Mulia, 2018), hlm. 1148-1152.</w:t>
      </w:r>
    </w:p>
  </w:footnote>
  <w:footnote w:id="28">
    <w:p w:rsidR="001179DD" w:rsidRDefault="001179DD" w:rsidP="001179DD">
      <w:pPr>
        <w:pStyle w:val="FootnoteText"/>
        <w:ind w:firstLine="720"/>
      </w:pPr>
      <w:r>
        <w:rPr>
          <w:rStyle w:val="FootnoteReference"/>
        </w:rPr>
        <w:footnoteRef/>
      </w:r>
      <w:r w:rsidRPr="001179DD">
        <w:t xml:space="preserve">Tonny Andrian, “Kajian Teologis Praktik Sakramen Perjamuan Kudus,” Kharisma: Jurnal Ilmiah Teologi </w:t>
      </w:r>
      <w:r>
        <w:t>Vol. 2 No. 1 (2021), hlm. 48-53.</w:t>
      </w:r>
    </w:p>
  </w:footnote>
  <w:footnote w:id="29">
    <w:p w:rsidR="001179DD" w:rsidRDefault="001179DD" w:rsidP="001179DD">
      <w:pPr>
        <w:pStyle w:val="FootnoteText"/>
        <w:ind w:firstLine="720"/>
      </w:pPr>
      <w:r>
        <w:rPr>
          <w:rStyle w:val="FootnoteReference"/>
        </w:rPr>
        <w:footnoteRef/>
      </w:r>
      <w:r w:rsidRPr="001179DD">
        <w:t>Andry Saputra Ligawan, Perjamuan Kudus, hlm. 95-102.</w:t>
      </w:r>
    </w:p>
  </w:footnote>
  <w:footnote w:id="30">
    <w:p w:rsidR="001179DD" w:rsidRDefault="001179DD" w:rsidP="001179DD">
      <w:pPr>
        <w:pStyle w:val="FootnoteText"/>
        <w:ind w:firstLine="720"/>
      </w:pPr>
      <w:r>
        <w:rPr>
          <w:rStyle w:val="FootnoteReference"/>
        </w:rPr>
        <w:footnoteRef/>
      </w:r>
      <w:r w:rsidRPr="001179DD">
        <w:t>H.I. Sagala, “Makna Esensial dan Tujuan Utama Sakramen Perjamuan Kudus,” Jurnal Didache (2024), hlm. 52-58.</w:t>
      </w:r>
      <w:r>
        <w:t xml:space="preserve"> </w:t>
      </w:r>
    </w:p>
  </w:footnote>
  <w:footnote w:id="31">
    <w:p w:rsidR="001179DD" w:rsidRDefault="001179DD" w:rsidP="001179DD">
      <w:pPr>
        <w:pStyle w:val="FootnoteText"/>
        <w:ind w:firstLine="720"/>
      </w:pPr>
      <w:r>
        <w:rPr>
          <w:rStyle w:val="FootnoteReference"/>
        </w:rPr>
        <w:footnoteRef/>
      </w:r>
      <w:r w:rsidRPr="001179DD">
        <w:t>1 Korintus 11:27-32; lihat juga Louis Berkhof, Teologi Sistematika, hlm. 372-375.</w:t>
      </w:r>
    </w:p>
  </w:footnote>
  <w:footnote w:id="32">
    <w:p w:rsidR="001179DD" w:rsidRDefault="001179DD" w:rsidP="001179DD">
      <w:pPr>
        <w:pStyle w:val="FootnoteText"/>
        <w:ind w:firstLine="720"/>
      </w:pPr>
      <w:r>
        <w:rPr>
          <w:rStyle w:val="FootnoteReference"/>
        </w:rPr>
        <w:footnoteRef/>
      </w:r>
      <w:r w:rsidRPr="001179DD">
        <w:t>Paulus dalam 1 Korintus 11:17-22; bandingkan dengan Andry Saputra Ligawan, Perjamuan Kudus, hlm. 110-118.</w:t>
      </w:r>
    </w:p>
  </w:footnote>
  <w:footnote w:id="33">
    <w:p w:rsidR="001179DD" w:rsidRDefault="001179DD" w:rsidP="001179DD">
      <w:pPr>
        <w:pStyle w:val="FootnoteText"/>
        <w:ind w:firstLine="720"/>
      </w:pPr>
      <w:r>
        <w:rPr>
          <w:rStyle w:val="FootnoteReference"/>
        </w:rPr>
        <w:footnoteRef/>
      </w:r>
      <w:r>
        <w:t xml:space="preserve"> </w:t>
      </w:r>
      <w:r w:rsidRPr="001179DD">
        <w:t>Louis Berkhof, Teologi Sistematika, jilid 2, terj. (Jakarta: Lembaga Reformed Injili Indonesia, 1995), hlm. 380-382.</w:t>
      </w:r>
    </w:p>
  </w:footnote>
  <w:footnote w:id="34">
    <w:p w:rsidR="001179DD" w:rsidRDefault="001179DD" w:rsidP="001179DD">
      <w:pPr>
        <w:pStyle w:val="FootnoteText"/>
        <w:ind w:firstLine="720"/>
      </w:pPr>
      <w:r>
        <w:rPr>
          <w:rStyle w:val="FootnoteReference"/>
        </w:rPr>
        <w:footnoteRef/>
      </w:r>
      <w:r w:rsidRPr="001179DD">
        <w:t>Andry Saputra Ligawan, Perjamuan Kudus: Hakikat dan Makna Menurut John Calvin (Jakarta: Sekolah Tinggi Teologi Aletheia, 2024), hlm. 130-145.</w:t>
      </w:r>
    </w:p>
  </w:footnote>
  <w:footnote w:id="35">
    <w:p w:rsidR="00D1268A" w:rsidRDefault="00D1268A" w:rsidP="00D1268A">
      <w:pPr>
        <w:pStyle w:val="FootnoteText"/>
        <w:ind w:firstLine="720"/>
      </w:pPr>
      <w:r>
        <w:rPr>
          <w:rStyle w:val="FootnoteReference"/>
        </w:rPr>
        <w:footnoteRef/>
      </w:r>
      <w:r w:rsidRPr="00D1268A">
        <w:t>Millard J. Erickson, Teologi Kristen, jilid 2, terj. (Malang: Gandum Mas, 2003), hlm. 1150-1155.</w:t>
      </w:r>
    </w:p>
  </w:footnote>
  <w:footnote w:id="36">
    <w:p w:rsidR="00D1268A" w:rsidRDefault="00D1268A" w:rsidP="00D1268A">
      <w:pPr>
        <w:pStyle w:val="FootnoteText"/>
        <w:ind w:firstLine="720"/>
      </w:pPr>
      <w:r>
        <w:rPr>
          <w:rStyle w:val="FootnoteReference"/>
        </w:rPr>
        <w:footnoteRef/>
      </w:r>
      <w:r w:rsidRPr="00D1268A">
        <w:t>Tonny Andrian, “Kajian Teologis Praktik Sakramen Perjamuan Kudus,” Kharisma: Jurnal Ilmiah Teologi Vol. 2 No. 1 (2021), hlm. 55-60.</w:t>
      </w:r>
    </w:p>
  </w:footnote>
  <w:footnote w:id="37">
    <w:p w:rsidR="00D1268A" w:rsidRDefault="00D1268A" w:rsidP="00D1268A">
      <w:pPr>
        <w:pStyle w:val="FootnoteText"/>
        <w:ind w:firstLine="720"/>
      </w:pPr>
      <w:r>
        <w:rPr>
          <w:rStyle w:val="FootnoteReference"/>
        </w:rPr>
        <w:footnoteRef/>
      </w:r>
      <w:r w:rsidRPr="00D1268A">
        <w:t>H.I. Sagala, “Makna Esensial dan Tujuan Utama Sakramen Perjamuan Kudus,” Jurnal Didache (2024), hlm. 60-65.</w:t>
      </w:r>
    </w:p>
  </w:footnote>
  <w:footnote w:id="38">
    <w:p w:rsidR="00D1268A" w:rsidRDefault="00D1268A" w:rsidP="00D1268A">
      <w:pPr>
        <w:pStyle w:val="FootnoteText"/>
        <w:ind w:firstLine="720"/>
      </w:pPr>
      <w:r>
        <w:rPr>
          <w:rStyle w:val="FootnoteReference"/>
        </w:rPr>
        <w:footnoteRef/>
      </w:r>
      <w:r w:rsidRPr="00D1268A">
        <w:t>Andry Saputra Ligawan, Perjamuan Kudus, hlm. 150-155.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18F" w:rsidRPr="00822673" w:rsidRDefault="00D6218F" w:rsidP="00D6218F">
    <w:pPr>
      <w:pStyle w:val="Header"/>
      <w:rPr>
        <w:rFonts w:ascii="Cambria" w:hAnsi="Cambria"/>
        <w:i/>
      </w:rPr>
    </w:pPr>
    <w:r w:rsidRPr="00822673">
      <w:rPr>
        <w:rFonts w:ascii="Cambria" w:hAnsi="Cambria"/>
        <w:i/>
      </w:rPr>
      <w:t>JURNAL TEOLOGI KALAM MULIA</w:t>
    </w:r>
  </w:p>
  <w:p w:rsidR="00D6218F" w:rsidRPr="00822673" w:rsidRDefault="00D6218F" w:rsidP="00D6218F">
    <w:pPr>
      <w:pStyle w:val="Header"/>
      <w:rPr>
        <w:rFonts w:ascii="Cambria" w:hAnsi="Cambria"/>
        <w:i/>
      </w:rPr>
    </w:pPr>
    <w:r w:rsidRPr="00822673">
      <w:rPr>
        <w:rFonts w:ascii="Cambria" w:hAnsi="Cambria"/>
        <w:i/>
      </w:rPr>
      <w:t>“SAKRAMEN PERJAMUAN KUDUS SECARA ALKITABIAH DAN TEOLOGIS”</w:t>
    </w:r>
  </w:p>
  <w:p w:rsidR="00D6218F" w:rsidRDefault="00D6218F" w:rsidP="00D6218F">
    <w:pPr>
      <w:pStyle w:val="Header"/>
      <w:rPr>
        <w:rFonts w:ascii="Cambria" w:hAnsi="Cambria"/>
        <w:i/>
      </w:rPr>
    </w:pPr>
    <w:r w:rsidRPr="00822673">
      <w:rPr>
        <w:rFonts w:ascii="Cambria" w:hAnsi="Cambria"/>
        <w:i/>
      </w:rPr>
      <w:t>VOL. 21 JANUARI 2025</w:t>
    </w:r>
  </w:p>
  <w:p w:rsidR="00D6218F" w:rsidRDefault="00D62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E2A71"/>
    <w:multiLevelType w:val="multilevel"/>
    <w:tmpl w:val="B1F24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AD7CD5"/>
    <w:multiLevelType w:val="multilevel"/>
    <w:tmpl w:val="717C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F41AAD"/>
    <w:multiLevelType w:val="multilevel"/>
    <w:tmpl w:val="07EE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A296D"/>
    <w:multiLevelType w:val="hybridMultilevel"/>
    <w:tmpl w:val="B6BCD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EAA"/>
    <w:rsid w:val="001179DD"/>
    <w:rsid w:val="00347115"/>
    <w:rsid w:val="00634427"/>
    <w:rsid w:val="006C10DE"/>
    <w:rsid w:val="007728AE"/>
    <w:rsid w:val="00945EAA"/>
    <w:rsid w:val="00AE4351"/>
    <w:rsid w:val="00D1268A"/>
    <w:rsid w:val="00D54F42"/>
    <w:rsid w:val="00D6218F"/>
    <w:rsid w:val="00FC7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64739"/>
  <w15:chartTrackingRefBased/>
  <w15:docId w15:val="{69845EFF-A289-47B8-95CB-B454ED4C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45E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5EAA"/>
    <w:rPr>
      <w:sz w:val="20"/>
      <w:szCs w:val="20"/>
    </w:rPr>
  </w:style>
  <w:style w:type="character" w:styleId="FootnoteReference">
    <w:name w:val="footnote reference"/>
    <w:basedOn w:val="DefaultParagraphFont"/>
    <w:uiPriority w:val="99"/>
    <w:semiHidden/>
    <w:unhideWhenUsed/>
    <w:rsid w:val="00945EAA"/>
    <w:rPr>
      <w:vertAlign w:val="superscript"/>
    </w:rPr>
  </w:style>
  <w:style w:type="paragraph" w:styleId="NormalWeb">
    <w:name w:val="Normal (Web)"/>
    <w:basedOn w:val="Normal"/>
    <w:uiPriority w:val="99"/>
    <w:semiHidden/>
    <w:unhideWhenUsed/>
    <w:rsid w:val="007728AE"/>
    <w:rPr>
      <w:rFonts w:ascii="Times New Roman" w:hAnsi="Times New Roman" w:cs="Times New Roman"/>
      <w:sz w:val="24"/>
      <w:szCs w:val="24"/>
    </w:rPr>
  </w:style>
  <w:style w:type="paragraph" w:styleId="ListParagraph">
    <w:name w:val="List Paragraph"/>
    <w:basedOn w:val="Normal"/>
    <w:uiPriority w:val="34"/>
    <w:qFormat/>
    <w:rsid w:val="00D54F42"/>
    <w:pPr>
      <w:ind w:left="720"/>
      <w:contextualSpacing/>
    </w:pPr>
  </w:style>
  <w:style w:type="paragraph" w:styleId="Header">
    <w:name w:val="header"/>
    <w:basedOn w:val="Normal"/>
    <w:link w:val="HeaderChar"/>
    <w:uiPriority w:val="99"/>
    <w:unhideWhenUsed/>
    <w:rsid w:val="00D62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18F"/>
  </w:style>
  <w:style w:type="paragraph" w:styleId="Footer">
    <w:name w:val="footer"/>
    <w:basedOn w:val="Normal"/>
    <w:link w:val="FooterChar"/>
    <w:uiPriority w:val="99"/>
    <w:unhideWhenUsed/>
    <w:rsid w:val="00D62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18F"/>
  </w:style>
  <w:style w:type="paragraph" w:styleId="BalloonText">
    <w:name w:val="Balloon Text"/>
    <w:basedOn w:val="Normal"/>
    <w:link w:val="BalloonTextChar"/>
    <w:uiPriority w:val="99"/>
    <w:semiHidden/>
    <w:unhideWhenUsed/>
    <w:rsid w:val="00FC7B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B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2803">
      <w:bodyDiv w:val="1"/>
      <w:marLeft w:val="0"/>
      <w:marRight w:val="0"/>
      <w:marTop w:val="0"/>
      <w:marBottom w:val="0"/>
      <w:divBdr>
        <w:top w:val="none" w:sz="0" w:space="0" w:color="auto"/>
        <w:left w:val="none" w:sz="0" w:space="0" w:color="auto"/>
        <w:bottom w:val="none" w:sz="0" w:space="0" w:color="auto"/>
        <w:right w:val="none" w:sz="0" w:space="0" w:color="auto"/>
      </w:divBdr>
    </w:div>
    <w:div w:id="16011324">
      <w:bodyDiv w:val="1"/>
      <w:marLeft w:val="0"/>
      <w:marRight w:val="0"/>
      <w:marTop w:val="0"/>
      <w:marBottom w:val="0"/>
      <w:divBdr>
        <w:top w:val="none" w:sz="0" w:space="0" w:color="auto"/>
        <w:left w:val="none" w:sz="0" w:space="0" w:color="auto"/>
        <w:bottom w:val="none" w:sz="0" w:space="0" w:color="auto"/>
        <w:right w:val="none" w:sz="0" w:space="0" w:color="auto"/>
      </w:divBdr>
    </w:div>
    <w:div w:id="62064859">
      <w:bodyDiv w:val="1"/>
      <w:marLeft w:val="0"/>
      <w:marRight w:val="0"/>
      <w:marTop w:val="0"/>
      <w:marBottom w:val="0"/>
      <w:divBdr>
        <w:top w:val="none" w:sz="0" w:space="0" w:color="auto"/>
        <w:left w:val="none" w:sz="0" w:space="0" w:color="auto"/>
        <w:bottom w:val="none" w:sz="0" w:space="0" w:color="auto"/>
        <w:right w:val="none" w:sz="0" w:space="0" w:color="auto"/>
      </w:divBdr>
    </w:div>
    <w:div w:id="84618714">
      <w:bodyDiv w:val="1"/>
      <w:marLeft w:val="0"/>
      <w:marRight w:val="0"/>
      <w:marTop w:val="0"/>
      <w:marBottom w:val="0"/>
      <w:divBdr>
        <w:top w:val="none" w:sz="0" w:space="0" w:color="auto"/>
        <w:left w:val="none" w:sz="0" w:space="0" w:color="auto"/>
        <w:bottom w:val="none" w:sz="0" w:space="0" w:color="auto"/>
        <w:right w:val="none" w:sz="0" w:space="0" w:color="auto"/>
      </w:divBdr>
    </w:div>
    <w:div w:id="112479738">
      <w:bodyDiv w:val="1"/>
      <w:marLeft w:val="0"/>
      <w:marRight w:val="0"/>
      <w:marTop w:val="0"/>
      <w:marBottom w:val="0"/>
      <w:divBdr>
        <w:top w:val="none" w:sz="0" w:space="0" w:color="auto"/>
        <w:left w:val="none" w:sz="0" w:space="0" w:color="auto"/>
        <w:bottom w:val="none" w:sz="0" w:space="0" w:color="auto"/>
        <w:right w:val="none" w:sz="0" w:space="0" w:color="auto"/>
      </w:divBdr>
    </w:div>
    <w:div w:id="150369968">
      <w:bodyDiv w:val="1"/>
      <w:marLeft w:val="0"/>
      <w:marRight w:val="0"/>
      <w:marTop w:val="0"/>
      <w:marBottom w:val="0"/>
      <w:divBdr>
        <w:top w:val="none" w:sz="0" w:space="0" w:color="auto"/>
        <w:left w:val="none" w:sz="0" w:space="0" w:color="auto"/>
        <w:bottom w:val="none" w:sz="0" w:space="0" w:color="auto"/>
        <w:right w:val="none" w:sz="0" w:space="0" w:color="auto"/>
      </w:divBdr>
    </w:div>
    <w:div w:id="160849729">
      <w:bodyDiv w:val="1"/>
      <w:marLeft w:val="0"/>
      <w:marRight w:val="0"/>
      <w:marTop w:val="0"/>
      <w:marBottom w:val="0"/>
      <w:divBdr>
        <w:top w:val="none" w:sz="0" w:space="0" w:color="auto"/>
        <w:left w:val="none" w:sz="0" w:space="0" w:color="auto"/>
        <w:bottom w:val="none" w:sz="0" w:space="0" w:color="auto"/>
        <w:right w:val="none" w:sz="0" w:space="0" w:color="auto"/>
      </w:divBdr>
    </w:div>
    <w:div w:id="201289036">
      <w:bodyDiv w:val="1"/>
      <w:marLeft w:val="0"/>
      <w:marRight w:val="0"/>
      <w:marTop w:val="0"/>
      <w:marBottom w:val="0"/>
      <w:divBdr>
        <w:top w:val="none" w:sz="0" w:space="0" w:color="auto"/>
        <w:left w:val="none" w:sz="0" w:space="0" w:color="auto"/>
        <w:bottom w:val="none" w:sz="0" w:space="0" w:color="auto"/>
        <w:right w:val="none" w:sz="0" w:space="0" w:color="auto"/>
      </w:divBdr>
    </w:div>
    <w:div w:id="255292191">
      <w:bodyDiv w:val="1"/>
      <w:marLeft w:val="0"/>
      <w:marRight w:val="0"/>
      <w:marTop w:val="0"/>
      <w:marBottom w:val="0"/>
      <w:divBdr>
        <w:top w:val="none" w:sz="0" w:space="0" w:color="auto"/>
        <w:left w:val="none" w:sz="0" w:space="0" w:color="auto"/>
        <w:bottom w:val="none" w:sz="0" w:space="0" w:color="auto"/>
        <w:right w:val="none" w:sz="0" w:space="0" w:color="auto"/>
      </w:divBdr>
    </w:div>
    <w:div w:id="282732526">
      <w:bodyDiv w:val="1"/>
      <w:marLeft w:val="0"/>
      <w:marRight w:val="0"/>
      <w:marTop w:val="0"/>
      <w:marBottom w:val="0"/>
      <w:divBdr>
        <w:top w:val="none" w:sz="0" w:space="0" w:color="auto"/>
        <w:left w:val="none" w:sz="0" w:space="0" w:color="auto"/>
        <w:bottom w:val="none" w:sz="0" w:space="0" w:color="auto"/>
        <w:right w:val="none" w:sz="0" w:space="0" w:color="auto"/>
      </w:divBdr>
    </w:div>
    <w:div w:id="338628014">
      <w:bodyDiv w:val="1"/>
      <w:marLeft w:val="0"/>
      <w:marRight w:val="0"/>
      <w:marTop w:val="0"/>
      <w:marBottom w:val="0"/>
      <w:divBdr>
        <w:top w:val="none" w:sz="0" w:space="0" w:color="auto"/>
        <w:left w:val="none" w:sz="0" w:space="0" w:color="auto"/>
        <w:bottom w:val="none" w:sz="0" w:space="0" w:color="auto"/>
        <w:right w:val="none" w:sz="0" w:space="0" w:color="auto"/>
      </w:divBdr>
    </w:div>
    <w:div w:id="391077538">
      <w:bodyDiv w:val="1"/>
      <w:marLeft w:val="0"/>
      <w:marRight w:val="0"/>
      <w:marTop w:val="0"/>
      <w:marBottom w:val="0"/>
      <w:divBdr>
        <w:top w:val="none" w:sz="0" w:space="0" w:color="auto"/>
        <w:left w:val="none" w:sz="0" w:space="0" w:color="auto"/>
        <w:bottom w:val="none" w:sz="0" w:space="0" w:color="auto"/>
        <w:right w:val="none" w:sz="0" w:space="0" w:color="auto"/>
      </w:divBdr>
    </w:div>
    <w:div w:id="448816715">
      <w:bodyDiv w:val="1"/>
      <w:marLeft w:val="0"/>
      <w:marRight w:val="0"/>
      <w:marTop w:val="0"/>
      <w:marBottom w:val="0"/>
      <w:divBdr>
        <w:top w:val="none" w:sz="0" w:space="0" w:color="auto"/>
        <w:left w:val="none" w:sz="0" w:space="0" w:color="auto"/>
        <w:bottom w:val="none" w:sz="0" w:space="0" w:color="auto"/>
        <w:right w:val="none" w:sz="0" w:space="0" w:color="auto"/>
      </w:divBdr>
    </w:div>
    <w:div w:id="543831781">
      <w:bodyDiv w:val="1"/>
      <w:marLeft w:val="0"/>
      <w:marRight w:val="0"/>
      <w:marTop w:val="0"/>
      <w:marBottom w:val="0"/>
      <w:divBdr>
        <w:top w:val="none" w:sz="0" w:space="0" w:color="auto"/>
        <w:left w:val="none" w:sz="0" w:space="0" w:color="auto"/>
        <w:bottom w:val="none" w:sz="0" w:space="0" w:color="auto"/>
        <w:right w:val="none" w:sz="0" w:space="0" w:color="auto"/>
      </w:divBdr>
    </w:div>
    <w:div w:id="618030403">
      <w:bodyDiv w:val="1"/>
      <w:marLeft w:val="0"/>
      <w:marRight w:val="0"/>
      <w:marTop w:val="0"/>
      <w:marBottom w:val="0"/>
      <w:divBdr>
        <w:top w:val="none" w:sz="0" w:space="0" w:color="auto"/>
        <w:left w:val="none" w:sz="0" w:space="0" w:color="auto"/>
        <w:bottom w:val="none" w:sz="0" w:space="0" w:color="auto"/>
        <w:right w:val="none" w:sz="0" w:space="0" w:color="auto"/>
      </w:divBdr>
    </w:div>
    <w:div w:id="671957826">
      <w:bodyDiv w:val="1"/>
      <w:marLeft w:val="0"/>
      <w:marRight w:val="0"/>
      <w:marTop w:val="0"/>
      <w:marBottom w:val="0"/>
      <w:divBdr>
        <w:top w:val="none" w:sz="0" w:space="0" w:color="auto"/>
        <w:left w:val="none" w:sz="0" w:space="0" w:color="auto"/>
        <w:bottom w:val="none" w:sz="0" w:space="0" w:color="auto"/>
        <w:right w:val="none" w:sz="0" w:space="0" w:color="auto"/>
      </w:divBdr>
    </w:div>
    <w:div w:id="747264236">
      <w:bodyDiv w:val="1"/>
      <w:marLeft w:val="0"/>
      <w:marRight w:val="0"/>
      <w:marTop w:val="0"/>
      <w:marBottom w:val="0"/>
      <w:divBdr>
        <w:top w:val="none" w:sz="0" w:space="0" w:color="auto"/>
        <w:left w:val="none" w:sz="0" w:space="0" w:color="auto"/>
        <w:bottom w:val="none" w:sz="0" w:space="0" w:color="auto"/>
        <w:right w:val="none" w:sz="0" w:space="0" w:color="auto"/>
      </w:divBdr>
    </w:div>
    <w:div w:id="761679308">
      <w:bodyDiv w:val="1"/>
      <w:marLeft w:val="0"/>
      <w:marRight w:val="0"/>
      <w:marTop w:val="0"/>
      <w:marBottom w:val="0"/>
      <w:divBdr>
        <w:top w:val="none" w:sz="0" w:space="0" w:color="auto"/>
        <w:left w:val="none" w:sz="0" w:space="0" w:color="auto"/>
        <w:bottom w:val="none" w:sz="0" w:space="0" w:color="auto"/>
        <w:right w:val="none" w:sz="0" w:space="0" w:color="auto"/>
      </w:divBdr>
    </w:div>
    <w:div w:id="766003420">
      <w:bodyDiv w:val="1"/>
      <w:marLeft w:val="0"/>
      <w:marRight w:val="0"/>
      <w:marTop w:val="0"/>
      <w:marBottom w:val="0"/>
      <w:divBdr>
        <w:top w:val="none" w:sz="0" w:space="0" w:color="auto"/>
        <w:left w:val="none" w:sz="0" w:space="0" w:color="auto"/>
        <w:bottom w:val="none" w:sz="0" w:space="0" w:color="auto"/>
        <w:right w:val="none" w:sz="0" w:space="0" w:color="auto"/>
      </w:divBdr>
    </w:div>
    <w:div w:id="812141990">
      <w:bodyDiv w:val="1"/>
      <w:marLeft w:val="0"/>
      <w:marRight w:val="0"/>
      <w:marTop w:val="0"/>
      <w:marBottom w:val="0"/>
      <w:divBdr>
        <w:top w:val="none" w:sz="0" w:space="0" w:color="auto"/>
        <w:left w:val="none" w:sz="0" w:space="0" w:color="auto"/>
        <w:bottom w:val="none" w:sz="0" w:space="0" w:color="auto"/>
        <w:right w:val="none" w:sz="0" w:space="0" w:color="auto"/>
      </w:divBdr>
    </w:div>
    <w:div w:id="869340575">
      <w:bodyDiv w:val="1"/>
      <w:marLeft w:val="0"/>
      <w:marRight w:val="0"/>
      <w:marTop w:val="0"/>
      <w:marBottom w:val="0"/>
      <w:divBdr>
        <w:top w:val="none" w:sz="0" w:space="0" w:color="auto"/>
        <w:left w:val="none" w:sz="0" w:space="0" w:color="auto"/>
        <w:bottom w:val="none" w:sz="0" w:space="0" w:color="auto"/>
        <w:right w:val="none" w:sz="0" w:space="0" w:color="auto"/>
      </w:divBdr>
    </w:div>
    <w:div w:id="900753160">
      <w:bodyDiv w:val="1"/>
      <w:marLeft w:val="0"/>
      <w:marRight w:val="0"/>
      <w:marTop w:val="0"/>
      <w:marBottom w:val="0"/>
      <w:divBdr>
        <w:top w:val="none" w:sz="0" w:space="0" w:color="auto"/>
        <w:left w:val="none" w:sz="0" w:space="0" w:color="auto"/>
        <w:bottom w:val="none" w:sz="0" w:space="0" w:color="auto"/>
        <w:right w:val="none" w:sz="0" w:space="0" w:color="auto"/>
      </w:divBdr>
    </w:div>
    <w:div w:id="922688864">
      <w:bodyDiv w:val="1"/>
      <w:marLeft w:val="0"/>
      <w:marRight w:val="0"/>
      <w:marTop w:val="0"/>
      <w:marBottom w:val="0"/>
      <w:divBdr>
        <w:top w:val="none" w:sz="0" w:space="0" w:color="auto"/>
        <w:left w:val="none" w:sz="0" w:space="0" w:color="auto"/>
        <w:bottom w:val="none" w:sz="0" w:space="0" w:color="auto"/>
        <w:right w:val="none" w:sz="0" w:space="0" w:color="auto"/>
      </w:divBdr>
    </w:div>
    <w:div w:id="964848282">
      <w:bodyDiv w:val="1"/>
      <w:marLeft w:val="0"/>
      <w:marRight w:val="0"/>
      <w:marTop w:val="0"/>
      <w:marBottom w:val="0"/>
      <w:divBdr>
        <w:top w:val="none" w:sz="0" w:space="0" w:color="auto"/>
        <w:left w:val="none" w:sz="0" w:space="0" w:color="auto"/>
        <w:bottom w:val="none" w:sz="0" w:space="0" w:color="auto"/>
        <w:right w:val="none" w:sz="0" w:space="0" w:color="auto"/>
      </w:divBdr>
    </w:div>
    <w:div w:id="975835571">
      <w:bodyDiv w:val="1"/>
      <w:marLeft w:val="0"/>
      <w:marRight w:val="0"/>
      <w:marTop w:val="0"/>
      <w:marBottom w:val="0"/>
      <w:divBdr>
        <w:top w:val="none" w:sz="0" w:space="0" w:color="auto"/>
        <w:left w:val="none" w:sz="0" w:space="0" w:color="auto"/>
        <w:bottom w:val="none" w:sz="0" w:space="0" w:color="auto"/>
        <w:right w:val="none" w:sz="0" w:space="0" w:color="auto"/>
      </w:divBdr>
    </w:div>
    <w:div w:id="1053041746">
      <w:bodyDiv w:val="1"/>
      <w:marLeft w:val="0"/>
      <w:marRight w:val="0"/>
      <w:marTop w:val="0"/>
      <w:marBottom w:val="0"/>
      <w:divBdr>
        <w:top w:val="none" w:sz="0" w:space="0" w:color="auto"/>
        <w:left w:val="none" w:sz="0" w:space="0" w:color="auto"/>
        <w:bottom w:val="none" w:sz="0" w:space="0" w:color="auto"/>
        <w:right w:val="none" w:sz="0" w:space="0" w:color="auto"/>
      </w:divBdr>
    </w:div>
    <w:div w:id="1165123502">
      <w:bodyDiv w:val="1"/>
      <w:marLeft w:val="0"/>
      <w:marRight w:val="0"/>
      <w:marTop w:val="0"/>
      <w:marBottom w:val="0"/>
      <w:divBdr>
        <w:top w:val="none" w:sz="0" w:space="0" w:color="auto"/>
        <w:left w:val="none" w:sz="0" w:space="0" w:color="auto"/>
        <w:bottom w:val="none" w:sz="0" w:space="0" w:color="auto"/>
        <w:right w:val="none" w:sz="0" w:space="0" w:color="auto"/>
      </w:divBdr>
    </w:div>
    <w:div w:id="1175455936">
      <w:bodyDiv w:val="1"/>
      <w:marLeft w:val="0"/>
      <w:marRight w:val="0"/>
      <w:marTop w:val="0"/>
      <w:marBottom w:val="0"/>
      <w:divBdr>
        <w:top w:val="none" w:sz="0" w:space="0" w:color="auto"/>
        <w:left w:val="none" w:sz="0" w:space="0" w:color="auto"/>
        <w:bottom w:val="none" w:sz="0" w:space="0" w:color="auto"/>
        <w:right w:val="none" w:sz="0" w:space="0" w:color="auto"/>
      </w:divBdr>
    </w:div>
    <w:div w:id="1182428159">
      <w:bodyDiv w:val="1"/>
      <w:marLeft w:val="0"/>
      <w:marRight w:val="0"/>
      <w:marTop w:val="0"/>
      <w:marBottom w:val="0"/>
      <w:divBdr>
        <w:top w:val="none" w:sz="0" w:space="0" w:color="auto"/>
        <w:left w:val="none" w:sz="0" w:space="0" w:color="auto"/>
        <w:bottom w:val="none" w:sz="0" w:space="0" w:color="auto"/>
        <w:right w:val="none" w:sz="0" w:space="0" w:color="auto"/>
      </w:divBdr>
    </w:div>
    <w:div w:id="1269922752">
      <w:bodyDiv w:val="1"/>
      <w:marLeft w:val="0"/>
      <w:marRight w:val="0"/>
      <w:marTop w:val="0"/>
      <w:marBottom w:val="0"/>
      <w:divBdr>
        <w:top w:val="none" w:sz="0" w:space="0" w:color="auto"/>
        <w:left w:val="none" w:sz="0" w:space="0" w:color="auto"/>
        <w:bottom w:val="none" w:sz="0" w:space="0" w:color="auto"/>
        <w:right w:val="none" w:sz="0" w:space="0" w:color="auto"/>
      </w:divBdr>
    </w:div>
    <w:div w:id="1270503173">
      <w:bodyDiv w:val="1"/>
      <w:marLeft w:val="0"/>
      <w:marRight w:val="0"/>
      <w:marTop w:val="0"/>
      <w:marBottom w:val="0"/>
      <w:divBdr>
        <w:top w:val="none" w:sz="0" w:space="0" w:color="auto"/>
        <w:left w:val="none" w:sz="0" w:space="0" w:color="auto"/>
        <w:bottom w:val="none" w:sz="0" w:space="0" w:color="auto"/>
        <w:right w:val="none" w:sz="0" w:space="0" w:color="auto"/>
      </w:divBdr>
    </w:div>
    <w:div w:id="1317492649">
      <w:bodyDiv w:val="1"/>
      <w:marLeft w:val="0"/>
      <w:marRight w:val="0"/>
      <w:marTop w:val="0"/>
      <w:marBottom w:val="0"/>
      <w:divBdr>
        <w:top w:val="none" w:sz="0" w:space="0" w:color="auto"/>
        <w:left w:val="none" w:sz="0" w:space="0" w:color="auto"/>
        <w:bottom w:val="none" w:sz="0" w:space="0" w:color="auto"/>
        <w:right w:val="none" w:sz="0" w:space="0" w:color="auto"/>
      </w:divBdr>
      <w:divsChild>
        <w:div w:id="443767082">
          <w:marLeft w:val="0"/>
          <w:marRight w:val="0"/>
          <w:marTop w:val="0"/>
          <w:marBottom w:val="0"/>
          <w:divBdr>
            <w:top w:val="none" w:sz="0" w:space="0" w:color="auto"/>
            <w:left w:val="none" w:sz="0" w:space="0" w:color="auto"/>
            <w:bottom w:val="none" w:sz="0" w:space="0" w:color="auto"/>
            <w:right w:val="none" w:sz="0" w:space="0" w:color="auto"/>
          </w:divBdr>
          <w:divsChild>
            <w:div w:id="1671562815">
              <w:marLeft w:val="0"/>
              <w:marRight w:val="0"/>
              <w:marTop w:val="0"/>
              <w:marBottom w:val="0"/>
              <w:divBdr>
                <w:top w:val="none" w:sz="0" w:space="0" w:color="auto"/>
                <w:left w:val="none" w:sz="0" w:space="0" w:color="auto"/>
                <w:bottom w:val="none" w:sz="0" w:space="0" w:color="auto"/>
                <w:right w:val="none" w:sz="0" w:space="0" w:color="auto"/>
              </w:divBdr>
              <w:divsChild>
                <w:div w:id="171835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010655">
      <w:bodyDiv w:val="1"/>
      <w:marLeft w:val="0"/>
      <w:marRight w:val="0"/>
      <w:marTop w:val="0"/>
      <w:marBottom w:val="0"/>
      <w:divBdr>
        <w:top w:val="none" w:sz="0" w:space="0" w:color="auto"/>
        <w:left w:val="none" w:sz="0" w:space="0" w:color="auto"/>
        <w:bottom w:val="none" w:sz="0" w:space="0" w:color="auto"/>
        <w:right w:val="none" w:sz="0" w:space="0" w:color="auto"/>
      </w:divBdr>
    </w:div>
    <w:div w:id="1426464415">
      <w:bodyDiv w:val="1"/>
      <w:marLeft w:val="0"/>
      <w:marRight w:val="0"/>
      <w:marTop w:val="0"/>
      <w:marBottom w:val="0"/>
      <w:divBdr>
        <w:top w:val="none" w:sz="0" w:space="0" w:color="auto"/>
        <w:left w:val="none" w:sz="0" w:space="0" w:color="auto"/>
        <w:bottom w:val="none" w:sz="0" w:space="0" w:color="auto"/>
        <w:right w:val="none" w:sz="0" w:space="0" w:color="auto"/>
      </w:divBdr>
    </w:div>
    <w:div w:id="1468668897">
      <w:bodyDiv w:val="1"/>
      <w:marLeft w:val="0"/>
      <w:marRight w:val="0"/>
      <w:marTop w:val="0"/>
      <w:marBottom w:val="0"/>
      <w:divBdr>
        <w:top w:val="none" w:sz="0" w:space="0" w:color="auto"/>
        <w:left w:val="none" w:sz="0" w:space="0" w:color="auto"/>
        <w:bottom w:val="none" w:sz="0" w:space="0" w:color="auto"/>
        <w:right w:val="none" w:sz="0" w:space="0" w:color="auto"/>
      </w:divBdr>
    </w:div>
    <w:div w:id="1489250450">
      <w:bodyDiv w:val="1"/>
      <w:marLeft w:val="0"/>
      <w:marRight w:val="0"/>
      <w:marTop w:val="0"/>
      <w:marBottom w:val="0"/>
      <w:divBdr>
        <w:top w:val="none" w:sz="0" w:space="0" w:color="auto"/>
        <w:left w:val="none" w:sz="0" w:space="0" w:color="auto"/>
        <w:bottom w:val="none" w:sz="0" w:space="0" w:color="auto"/>
        <w:right w:val="none" w:sz="0" w:space="0" w:color="auto"/>
      </w:divBdr>
    </w:div>
    <w:div w:id="1503736649">
      <w:bodyDiv w:val="1"/>
      <w:marLeft w:val="0"/>
      <w:marRight w:val="0"/>
      <w:marTop w:val="0"/>
      <w:marBottom w:val="0"/>
      <w:divBdr>
        <w:top w:val="none" w:sz="0" w:space="0" w:color="auto"/>
        <w:left w:val="none" w:sz="0" w:space="0" w:color="auto"/>
        <w:bottom w:val="none" w:sz="0" w:space="0" w:color="auto"/>
        <w:right w:val="none" w:sz="0" w:space="0" w:color="auto"/>
      </w:divBdr>
    </w:div>
    <w:div w:id="1510563568">
      <w:bodyDiv w:val="1"/>
      <w:marLeft w:val="0"/>
      <w:marRight w:val="0"/>
      <w:marTop w:val="0"/>
      <w:marBottom w:val="0"/>
      <w:divBdr>
        <w:top w:val="none" w:sz="0" w:space="0" w:color="auto"/>
        <w:left w:val="none" w:sz="0" w:space="0" w:color="auto"/>
        <w:bottom w:val="none" w:sz="0" w:space="0" w:color="auto"/>
        <w:right w:val="none" w:sz="0" w:space="0" w:color="auto"/>
      </w:divBdr>
    </w:div>
    <w:div w:id="1533104915">
      <w:bodyDiv w:val="1"/>
      <w:marLeft w:val="0"/>
      <w:marRight w:val="0"/>
      <w:marTop w:val="0"/>
      <w:marBottom w:val="0"/>
      <w:divBdr>
        <w:top w:val="none" w:sz="0" w:space="0" w:color="auto"/>
        <w:left w:val="none" w:sz="0" w:space="0" w:color="auto"/>
        <w:bottom w:val="none" w:sz="0" w:space="0" w:color="auto"/>
        <w:right w:val="none" w:sz="0" w:space="0" w:color="auto"/>
      </w:divBdr>
    </w:div>
    <w:div w:id="1548641890">
      <w:bodyDiv w:val="1"/>
      <w:marLeft w:val="0"/>
      <w:marRight w:val="0"/>
      <w:marTop w:val="0"/>
      <w:marBottom w:val="0"/>
      <w:divBdr>
        <w:top w:val="none" w:sz="0" w:space="0" w:color="auto"/>
        <w:left w:val="none" w:sz="0" w:space="0" w:color="auto"/>
        <w:bottom w:val="none" w:sz="0" w:space="0" w:color="auto"/>
        <w:right w:val="none" w:sz="0" w:space="0" w:color="auto"/>
      </w:divBdr>
    </w:div>
    <w:div w:id="1576671239">
      <w:bodyDiv w:val="1"/>
      <w:marLeft w:val="0"/>
      <w:marRight w:val="0"/>
      <w:marTop w:val="0"/>
      <w:marBottom w:val="0"/>
      <w:divBdr>
        <w:top w:val="none" w:sz="0" w:space="0" w:color="auto"/>
        <w:left w:val="none" w:sz="0" w:space="0" w:color="auto"/>
        <w:bottom w:val="none" w:sz="0" w:space="0" w:color="auto"/>
        <w:right w:val="none" w:sz="0" w:space="0" w:color="auto"/>
      </w:divBdr>
    </w:div>
    <w:div w:id="1653177930">
      <w:bodyDiv w:val="1"/>
      <w:marLeft w:val="0"/>
      <w:marRight w:val="0"/>
      <w:marTop w:val="0"/>
      <w:marBottom w:val="0"/>
      <w:divBdr>
        <w:top w:val="none" w:sz="0" w:space="0" w:color="auto"/>
        <w:left w:val="none" w:sz="0" w:space="0" w:color="auto"/>
        <w:bottom w:val="none" w:sz="0" w:space="0" w:color="auto"/>
        <w:right w:val="none" w:sz="0" w:space="0" w:color="auto"/>
      </w:divBdr>
    </w:div>
    <w:div w:id="1657997485">
      <w:bodyDiv w:val="1"/>
      <w:marLeft w:val="0"/>
      <w:marRight w:val="0"/>
      <w:marTop w:val="0"/>
      <w:marBottom w:val="0"/>
      <w:divBdr>
        <w:top w:val="none" w:sz="0" w:space="0" w:color="auto"/>
        <w:left w:val="none" w:sz="0" w:space="0" w:color="auto"/>
        <w:bottom w:val="none" w:sz="0" w:space="0" w:color="auto"/>
        <w:right w:val="none" w:sz="0" w:space="0" w:color="auto"/>
      </w:divBdr>
    </w:div>
    <w:div w:id="1762606119">
      <w:bodyDiv w:val="1"/>
      <w:marLeft w:val="0"/>
      <w:marRight w:val="0"/>
      <w:marTop w:val="0"/>
      <w:marBottom w:val="0"/>
      <w:divBdr>
        <w:top w:val="none" w:sz="0" w:space="0" w:color="auto"/>
        <w:left w:val="none" w:sz="0" w:space="0" w:color="auto"/>
        <w:bottom w:val="none" w:sz="0" w:space="0" w:color="auto"/>
        <w:right w:val="none" w:sz="0" w:space="0" w:color="auto"/>
      </w:divBdr>
    </w:div>
    <w:div w:id="1802653323">
      <w:bodyDiv w:val="1"/>
      <w:marLeft w:val="0"/>
      <w:marRight w:val="0"/>
      <w:marTop w:val="0"/>
      <w:marBottom w:val="0"/>
      <w:divBdr>
        <w:top w:val="none" w:sz="0" w:space="0" w:color="auto"/>
        <w:left w:val="none" w:sz="0" w:space="0" w:color="auto"/>
        <w:bottom w:val="none" w:sz="0" w:space="0" w:color="auto"/>
        <w:right w:val="none" w:sz="0" w:space="0" w:color="auto"/>
      </w:divBdr>
    </w:div>
    <w:div w:id="1925186330">
      <w:bodyDiv w:val="1"/>
      <w:marLeft w:val="0"/>
      <w:marRight w:val="0"/>
      <w:marTop w:val="0"/>
      <w:marBottom w:val="0"/>
      <w:divBdr>
        <w:top w:val="none" w:sz="0" w:space="0" w:color="auto"/>
        <w:left w:val="none" w:sz="0" w:space="0" w:color="auto"/>
        <w:bottom w:val="none" w:sz="0" w:space="0" w:color="auto"/>
        <w:right w:val="none" w:sz="0" w:space="0" w:color="auto"/>
      </w:divBdr>
    </w:div>
    <w:div w:id="1944410766">
      <w:bodyDiv w:val="1"/>
      <w:marLeft w:val="0"/>
      <w:marRight w:val="0"/>
      <w:marTop w:val="0"/>
      <w:marBottom w:val="0"/>
      <w:divBdr>
        <w:top w:val="none" w:sz="0" w:space="0" w:color="auto"/>
        <w:left w:val="none" w:sz="0" w:space="0" w:color="auto"/>
        <w:bottom w:val="none" w:sz="0" w:space="0" w:color="auto"/>
        <w:right w:val="none" w:sz="0" w:space="0" w:color="auto"/>
      </w:divBdr>
    </w:div>
    <w:div w:id="2003853666">
      <w:bodyDiv w:val="1"/>
      <w:marLeft w:val="0"/>
      <w:marRight w:val="0"/>
      <w:marTop w:val="0"/>
      <w:marBottom w:val="0"/>
      <w:divBdr>
        <w:top w:val="none" w:sz="0" w:space="0" w:color="auto"/>
        <w:left w:val="none" w:sz="0" w:space="0" w:color="auto"/>
        <w:bottom w:val="none" w:sz="0" w:space="0" w:color="auto"/>
        <w:right w:val="none" w:sz="0" w:space="0" w:color="auto"/>
      </w:divBdr>
    </w:div>
    <w:div w:id="2062243126">
      <w:bodyDiv w:val="1"/>
      <w:marLeft w:val="0"/>
      <w:marRight w:val="0"/>
      <w:marTop w:val="0"/>
      <w:marBottom w:val="0"/>
      <w:divBdr>
        <w:top w:val="none" w:sz="0" w:space="0" w:color="auto"/>
        <w:left w:val="none" w:sz="0" w:space="0" w:color="auto"/>
        <w:bottom w:val="none" w:sz="0" w:space="0" w:color="auto"/>
        <w:right w:val="none" w:sz="0" w:space="0" w:color="auto"/>
      </w:divBdr>
    </w:div>
    <w:div w:id="2074354135">
      <w:bodyDiv w:val="1"/>
      <w:marLeft w:val="0"/>
      <w:marRight w:val="0"/>
      <w:marTop w:val="0"/>
      <w:marBottom w:val="0"/>
      <w:divBdr>
        <w:top w:val="none" w:sz="0" w:space="0" w:color="auto"/>
        <w:left w:val="none" w:sz="0" w:space="0" w:color="auto"/>
        <w:bottom w:val="none" w:sz="0" w:space="0" w:color="auto"/>
        <w:right w:val="none" w:sz="0" w:space="0" w:color="auto"/>
      </w:divBdr>
    </w:div>
    <w:div w:id="212888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8A730-B789-4316-B308-8EFB0DD89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17</Pages>
  <Words>4448</Words>
  <Characters>25357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3</cp:revision>
  <cp:lastPrinted>2026-04-29T04:11:00Z</cp:lastPrinted>
  <dcterms:created xsi:type="dcterms:W3CDTF">2026-04-29T02:04:00Z</dcterms:created>
  <dcterms:modified xsi:type="dcterms:W3CDTF">2026-04-29T07:07:00Z</dcterms:modified>
</cp:coreProperties>
</file>