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2290" w:rsidRPr="00FD2290" w:rsidRDefault="00FD2290" w:rsidP="0048492B">
      <w:pPr>
        <w:spacing w:after="0" w:line="240" w:lineRule="auto"/>
        <w:jc w:val="center"/>
        <w:rPr>
          <w:rFonts w:ascii="Times New Roman" w:hAnsi="Times New Roman" w:cs="Times New Roman"/>
          <w:b/>
          <w:bCs/>
          <w:sz w:val="24"/>
          <w:szCs w:val="24"/>
        </w:rPr>
      </w:pPr>
      <w:r w:rsidRPr="00FD2290">
        <w:rPr>
          <w:rFonts w:ascii="Times New Roman" w:hAnsi="Times New Roman" w:cs="Times New Roman"/>
          <w:b/>
          <w:bCs/>
          <w:sz w:val="24"/>
          <w:szCs w:val="24"/>
        </w:rPr>
        <w:t>PERJAMUAN KUDUS DALAM 1 KORINTUS 11:27-30</w:t>
      </w:r>
    </w:p>
    <w:p w:rsidR="00FD2290" w:rsidRPr="00FD2290" w:rsidRDefault="00FD2290" w:rsidP="0048492B">
      <w:pPr>
        <w:spacing w:after="0" w:line="240" w:lineRule="auto"/>
        <w:jc w:val="center"/>
        <w:rPr>
          <w:rFonts w:ascii="Times New Roman" w:hAnsi="Times New Roman" w:cs="Times New Roman"/>
          <w:b/>
          <w:bCs/>
          <w:sz w:val="24"/>
          <w:szCs w:val="24"/>
        </w:rPr>
      </w:pPr>
      <w:r w:rsidRPr="00FD2290">
        <w:rPr>
          <w:rFonts w:ascii="Times New Roman" w:hAnsi="Times New Roman" w:cs="Times New Roman"/>
          <w:b/>
          <w:bCs/>
          <w:sz w:val="24"/>
          <w:szCs w:val="24"/>
        </w:rPr>
        <w:t>TERHADAP SIKAP BERIBADAH JEMAAT TUHAN</w:t>
      </w:r>
    </w:p>
    <w:p w:rsidR="00FD2290" w:rsidRDefault="00FD2290" w:rsidP="0048492B">
      <w:pPr>
        <w:spacing w:after="0" w:line="240" w:lineRule="auto"/>
        <w:jc w:val="center"/>
        <w:rPr>
          <w:rFonts w:ascii="Times New Roman" w:hAnsi="Times New Roman" w:cs="Times New Roman"/>
          <w:b/>
          <w:bCs/>
          <w:sz w:val="24"/>
          <w:szCs w:val="24"/>
        </w:rPr>
      </w:pPr>
    </w:p>
    <w:p w:rsidR="00FD2290" w:rsidRPr="0048492B" w:rsidRDefault="00FD2290" w:rsidP="0048492B">
      <w:pPr>
        <w:spacing w:after="0" w:line="240" w:lineRule="auto"/>
        <w:jc w:val="center"/>
        <w:rPr>
          <w:rFonts w:ascii="Times New Roman" w:hAnsi="Times New Roman" w:cs="Times New Roman"/>
          <w:bCs/>
          <w:sz w:val="24"/>
          <w:szCs w:val="24"/>
        </w:rPr>
      </w:pPr>
      <w:r w:rsidRPr="0048492B">
        <w:rPr>
          <w:rFonts w:ascii="Times New Roman" w:hAnsi="Times New Roman" w:cs="Times New Roman"/>
          <w:bCs/>
          <w:sz w:val="24"/>
          <w:szCs w:val="24"/>
        </w:rPr>
        <w:t>Oleh</w:t>
      </w:r>
    </w:p>
    <w:p w:rsidR="00FD2290" w:rsidRPr="0048492B" w:rsidRDefault="00FD2290" w:rsidP="0048492B">
      <w:pPr>
        <w:spacing w:after="0" w:line="240" w:lineRule="auto"/>
        <w:jc w:val="center"/>
        <w:rPr>
          <w:rFonts w:ascii="Times New Roman" w:hAnsi="Times New Roman" w:cs="Times New Roman"/>
          <w:bCs/>
          <w:sz w:val="24"/>
          <w:szCs w:val="24"/>
        </w:rPr>
      </w:pPr>
      <w:r w:rsidRPr="0048492B">
        <w:rPr>
          <w:rFonts w:ascii="Times New Roman" w:hAnsi="Times New Roman" w:cs="Times New Roman"/>
          <w:bCs/>
          <w:sz w:val="24"/>
          <w:szCs w:val="24"/>
        </w:rPr>
        <w:t>(</w:t>
      </w:r>
      <w:bookmarkStart w:id="0" w:name="_GoBack"/>
      <w:r w:rsidRPr="0048492B">
        <w:rPr>
          <w:rFonts w:ascii="Times New Roman" w:hAnsi="Times New Roman" w:cs="Times New Roman"/>
          <w:bCs/>
          <w:sz w:val="24"/>
          <w:szCs w:val="24"/>
        </w:rPr>
        <w:t xml:space="preserve">Darianus Mendrofa &amp; </w:t>
      </w:r>
      <w:r w:rsidR="0048492B" w:rsidRPr="0048492B">
        <w:rPr>
          <w:rFonts w:ascii="Times New Roman" w:hAnsi="Times New Roman" w:cs="Times New Roman"/>
          <w:bCs/>
          <w:sz w:val="24"/>
          <w:szCs w:val="24"/>
        </w:rPr>
        <w:t>Ira Farida</w:t>
      </w:r>
      <w:bookmarkEnd w:id="0"/>
      <w:r w:rsidRPr="0048492B">
        <w:rPr>
          <w:rFonts w:ascii="Times New Roman" w:hAnsi="Times New Roman" w:cs="Times New Roman"/>
          <w:bCs/>
          <w:sz w:val="24"/>
          <w:szCs w:val="24"/>
        </w:rPr>
        <w:t>)</w:t>
      </w:r>
    </w:p>
    <w:p w:rsidR="0048492B" w:rsidRPr="00FD2290" w:rsidRDefault="0048492B" w:rsidP="0048492B">
      <w:pPr>
        <w:spacing w:after="0" w:line="240" w:lineRule="auto"/>
        <w:jc w:val="center"/>
        <w:rPr>
          <w:rFonts w:ascii="Times New Roman" w:hAnsi="Times New Roman" w:cs="Times New Roman"/>
          <w:b/>
          <w:bCs/>
          <w:sz w:val="24"/>
          <w:szCs w:val="24"/>
        </w:rPr>
      </w:pPr>
    </w:p>
    <w:p w:rsidR="00FD2290" w:rsidRPr="00FD2290" w:rsidRDefault="00FD2290" w:rsidP="0048492B">
      <w:pPr>
        <w:spacing w:after="0" w:line="240" w:lineRule="auto"/>
        <w:jc w:val="center"/>
        <w:rPr>
          <w:rFonts w:ascii="Times New Roman" w:hAnsi="Times New Roman" w:cs="Times New Roman"/>
          <w:sz w:val="24"/>
          <w:szCs w:val="24"/>
        </w:rPr>
      </w:pPr>
      <w:r w:rsidRPr="00FD2290">
        <w:rPr>
          <w:rFonts w:ascii="Times New Roman" w:hAnsi="Times New Roman" w:cs="Times New Roman"/>
          <w:b/>
          <w:bCs/>
          <w:sz w:val="24"/>
          <w:szCs w:val="24"/>
        </w:rPr>
        <w:t>Abstrak</w:t>
      </w:r>
    </w:p>
    <w:p w:rsidR="0048492B" w:rsidRPr="0048492B" w:rsidRDefault="0048492B" w:rsidP="0048492B">
      <w:pPr>
        <w:spacing w:after="0" w:line="240" w:lineRule="auto"/>
        <w:ind w:left="720"/>
        <w:jc w:val="both"/>
        <w:rPr>
          <w:rFonts w:ascii="Times New Roman" w:hAnsi="Times New Roman" w:cs="Times New Roman"/>
          <w:sz w:val="24"/>
          <w:szCs w:val="24"/>
        </w:rPr>
      </w:pPr>
      <w:r w:rsidRPr="0048492B">
        <w:rPr>
          <w:rFonts w:ascii="Times New Roman" w:hAnsi="Times New Roman" w:cs="Times New Roman"/>
          <w:sz w:val="24"/>
          <w:szCs w:val="24"/>
        </w:rPr>
        <w:t>Perjamuan Kudus merupakan salah satu sakramen paling penting dalam kehidupan dan ibadah gereja Kristen sejak zaman rasuli. Sakramen ini bukan hanya sebagai peringatan akan pengorbanan Kristus, tetapi juga proklamasi kematian-Nya sampai Ia datang kembali (1 Korintus 11:23-26). Penelitian ini menganalisis secara eksegetis dan komprehensif teks 1 Korintus 11:27-30, di mana Rasul Paulus memberikan peringatan serius terhadap sikap tidak layak (</w:t>
      </w:r>
      <w:r w:rsidRPr="0048492B">
        <w:rPr>
          <w:rFonts w:ascii="Times New Roman" w:hAnsi="Times New Roman" w:cs="Times New Roman"/>
          <w:i/>
          <w:iCs/>
          <w:sz w:val="24"/>
          <w:szCs w:val="24"/>
        </w:rPr>
        <w:t>anaxios</w:t>
      </w:r>
      <w:r w:rsidRPr="0048492B">
        <w:rPr>
          <w:rFonts w:ascii="Times New Roman" w:hAnsi="Times New Roman" w:cs="Times New Roman"/>
          <w:sz w:val="24"/>
          <w:szCs w:val="24"/>
        </w:rPr>
        <w:t>) ketika mengambil Perjamuan Kudus.</w:t>
      </w:r>
    </w:p>
    <w:p w:rsidR="0048492B" w:rsidRPr="0048492B" w:rsidRDefault="0048492B" w:rsidP="0048492B">
      <w:pPr>
        <w:spacing w:after="0" w:line="240" w:lineRule="auto"/>
        <w:ind w:left="720"/>
        <w:jc w:val="both"/>
        <w:rPr>
          <w:rFonts w:ascii="Times New Roman" w:hAnsi="Times New Roman" w:cs="Times New Roman"/>
          <w:sz w:val="24"/>
          <w:szCs w:val="24"/>
        </w:rPr>
      </w:pPr>
      <w:r w:rsidRPr="0048492B">
        <w:rPr>
          <w:rFonts w:ascii="Times New Roman" w:hAnsi="Times New Roman" w:cs="Times New Roman"/>
          <w:sz w:val="24"/>
          <w:szCs w:val="24"/>
        </w:rPr>
        <w:t>Sikap tidak layak tersebut mencakup acuh tak acuh terhadap makna sakramen, mementingkan diri sendiri, diskriminasi sosial, perpecahan, serta kurangnya penghormatan terhadap tubuh dan darah Tuhan. Akibatnya adalah penghukuman ilahi berupa kelemahan, penyakit, dan bahkan kematian di tengah jemaat. Melalui pendekatan eksegesis historis-gramatikal-teologis dan studi kepustakaan, penelitian ini menemukan bahwa sikap yang layak dalam Perjamuan Kudus menuntut: (1) penghormatan mendalam terhadap pengorbanan Kristus, (2) pemeriksaan diri (</w:t>
      </w:r>
      <w:r w:rsidRPr="0048492B">
        <w:rPr>
          <w:rFonts w:ascii="Times New Roman" w:hAnsi="Times New Roman" w:cs="Times New Roman"/>
          <w:i/>
          <w:iCs/>
          <w:sz w:val="24"/>
          <w:szCs w:val="24"/>
        </w:rPr>
        <w:t>dokimazo</w:t>
      </w:r>
      <w:r w:rsidRPr="0048492B">
        <w:rPr>
          <w:rFonts w:ascii="Times New Roman" w:hAnsi="Times New Roman" w:cs="Times New Roman"/>
          <w:sz w:val="24"/>
          <w:szCs w:val="24"/>
        </w:rPr>
        <w:t>) yang jujur dan teliti, (3) pengakuan akan kesatuan Tubuh Kristus, serta (4) transformasi kehidupan yang kudus dan penuh kasih persaudaraan.</w:t>
      </w:r>
    </w:p>
    <w:p w:rsidR="0048492B" w:rsidRPr="0048492B" w:rsidRDefault="0048492B" w:rsidP="0048492B">
      <w:pPr>
        <w:spacing w:after="0" w:line="240" w:lineRule="auto"/>
        <w:ind w:left="720"/>
        <w:jc w:val="both"/>
        <w:rPr>
          <w:rFonts w:ascii="Times New Roman" w:hAnsi="Times New Roman" w:cs="Times New Roman"/>
          <w:sz w:val="24"/>
          <w:szCs w:val="24"/>
        </w:rPr>
      </w:pPr>
      <w:r w:rsidRPr="0048492B">
        <w:rPr>
          <w:rFonts w:ascii="Times New Roman" w:hAnsi="Times New Roman" w:cs="Times New Roman"/>
          <w:sz w:val="24"/>
          <w:szCs w:val="24"/>
        </w:rPr>
        <w:t>Penelitian ini menyimpulkan bahwa Perjamuan Kudus bukan sekadar ritual rutin, melainkan sarana rohani yang kuat untuk pembaharuan pribadi, kesatuan gereja, dan kesaksian kepada dunia. Bagi gereja di Indonesia, teks ini menjadi panggilan mendesak untuk memperbarui sikap ibadah agar sakramen ini tetap memiliki kuasa dan makna yang mendalam, bukan menjadi sarana penghukuman ilahi.</w:t>
      </w:r>
    </w:p>
    <w:p w:rsidR="0048492B" w:rsidRPr="0048492B" w:rsidRDefault="0048492B" w:rsidP="0048492B">
      <w:pPr>
        <w:spacing w:after="0" w:line="240" w:lineRule="auto"/>
        <w:ind w:left="720"/>
        <w:jc w:val="both"/>
        <w:rPr>
          <w:rFonts w:ascii="Times New Roman" w:hAnsi="Times New Roman" w:cs="Times New Roman"/>
          <w:sz w:val="24"/>
          <w:szCs w:val="24"/>
        </w:rPr>
      </w:pPr>
      <w:r w:rsidRPr="0048492B">
        <w:rPr>
          <w:rFonts w:ascii="Times New Roman" w:hAnsi="Times New Roman" w:cs="Times New Roman"/>
          <w:b/>
          <w:bCs/>
          <w:sz w:val="24"/>
          <w:szCs w:val="24"/>
        </w:rPr>
        <w:t>Kata Kunci</w:t>
      </w:r>
      <w:r w:rsidRPr="0048492B">
        <w:rPr>
          <w:rFonts w:ascii="Times New Roman" w:hAnsi="Times New Roman" w:cs="Times New Roman"/>
          <w:sz w:val="24"/>
          <w:szCs w:val="24"/>
        </w:rPr>
        <w:t>: Perjamuan Kudus, 1 Korintus 11:27-30, Sikap Tidak Layak (</w:t>
      </w:r>
      <w:r w:rsidRPr="0048492B">
        <w:rPr>
          <w:rFonts w:ascii="Times New Roman" w:hAnsi="Times New Roman" w:cs="Times New Roman"/>
          <w:i/>
          <w:iCs/>
          <w:sz w:val="24"/>
          <w:szCs w:val="24"/>
        </w:rPr>
        <w:t>anaxios</w:t>
      </w:r>
      <w:r w:rsidRPr="0048492B">
        <w:rPr>
          <w:rFonts w:ascii="Times New Roman" w:hAnsi="Times New Roman" w:cs="Times New Roman"/>
          <w:sz w:val="24"/>
          <w:szCs w:val="24"/>
        </w:rPr>
        <w:t>), Pemeriksaan Diri (</w:t>
      </w:r>
      <w:r w:rsidRPr="0048492B">
        <w:rPr>
          <w:rFonts w:ascii="Times New Roman" w:hAnsi="Times New Roman" w:cs="Times New Roman"/>
          <w:i/>
          <w:iCs/>
          <w:sz w:val="24"/>
          <w:szCs w:val="24"/>
        </w:rPr>
        <w:t>dokimazo</w:t>
      </w:r>
      <w:r w:rsidRPr="0048492B">
        <w:rPr>
          <w:rFonts w:ascii="Times New Roman" w:hAnsi="Times New Roman" w:cs="Times New Roman"/>
          <w:sz w:val="24"/>
          <w:szCs w:val="24"/>
        </w:rPr>
        <w:t>), Penghukuman Ilahi, Kesatuan Tubuh Kristus, Eksegesis Alkitab</w:t>
      </w:r>
    </w:p>
    <w:p w:rsidR="00FD2290" w:rsidRDefault="00FD2290" w:rsidP="00FD2290">
      <w:pPr>
        <w:spacing w:line="360" w:lineRule="auto"/>
        <w:jc w:val="both"/>
        <w:rPr>
          <w:rFonts w:ascii="Times New Roman" w:hAnsi="Times New Roman" w:cs="Times New Roman"/>
          <w:b/>
          <w:bCs/>
          <w:sz w:val="24"/>
          <w:szCs w:val="24"/>
        </w:rPr>
      </w:pPr>
    </w:p>
    <w:p w:rsidR="00FD2290" w:rsidRPr="00FD2290" w:rsidRDefault="00FD2290" w:rsidP="0048492B">
      <w:pPr>
        <w:spacing w:line="276" w:lineRule="auto"/>
        <w:jc w:val="both"/>
        <w:rPr>
          <w:rFonts w:ascii="Times New Roman" w:hAnsi="Times New Roman" w:cs="Times New Roman"/>
          <w:sz w:val="24"/>
          <w:szCs w:val="24"/>
        </w:rPr>
      </w:pPr>
      <w:r w:rsidRPr="00FD2290">
        <w:rPr>
          <w:rFonts w:ascii="Times New Roman" w:hAnsi="Times New Roman" w:cs="Times New Roman"/>
          <w:b/>
          <w:bCs/>
          <w:sz w:val="24"/>
          <w:szCs w:val="24"/>
        </w:rPr>
        <w:t>Pendahuluan</w:t>
      </w:r>
    </w:p>
    <w:p w:rsidR="00FD2290" w:rsidRPr="00FD2290" w:rsidRDefault="00FD2290" w:rsidP="0048492B">
      <w:pPr>
        <w:spacing w:line="276" w:lineRule="auto"/>
        <w:ind w:firstLine="720"/>
        <w:jc w:val="both"/>
        <w:rPr>
          <w:rFonts w:ascii="Times New Roman" w:hAnsi="Times New Roman" w:cs="Times New Roman"/>
          <w:sz w:val="24"/>
          <w:szCs w:val="24"/>
        </w:rPr>
      </w:pPr>
      <w:r w:rsidRPr="00FD2290">
        <w:rPr>
          <w:rFonts w:ascii="Times New Roman" w:hAnsi="Times New Roman" w:cs="Times New Roman"/>
          <w:sz w:val="24"/>
          <w:szCs w:val="24"/>
        </w:rPr>
        <w:t xml:space="preserve">Perjamuan Kudus, yang juga dikenal sebagai Sakramen Ekaristi atau Perjamuan Tuhan, merupakan elemen paling sakral dan sentral dalam ibadah </w:t>
      </w:r>
      <w:r w:rsidRPr="00FD2290">
        <w:rPr>
          <w:rFonts w:ascii="Times New Roman" w:hAnsi="Times New Roman" w:cs="Times New Roman"/>
          <w:sz w:val="24"/>
          <w:szCs w:val="24"/>
        </w:rPr>
        <w:lastRenderedPageBreak/>
        <w:t>Kristen sejak zaman rasuli. Sakramen ini langsung diinstitusikan oleh Tuhan Yesus Kristus sendiri pada malam sebelum penyaliban-Nya, sebagaimana tercatat secara paralel dalam Injil Matius 26:26-29, Markus 14:22-25, Lukas 22:14-20, serta diulangi dan dijelaskan secara rinci oleh Rasul Paulus dalam surat pertamanya kepada jemaat di Korintus (1 Korintus 11:23-26). Dalam peristiwa malam itu, Yesus mengambil roti, mengucap syukur, memecahkannya, dan memberikan kepada murid-</w:t>
      </w:r>
      <w:proofErr w:type="gramStart"/>
      <w:r w:rsidRPr="00FD2290">
        <w:rPr>
          <w:rFonts w:ascii="Times New Roman" w:hAnsi="Times New Roman" w:cs="Times New Roman"/>
          <w:sz w:val="24"/>
          <w:szCs w:val="24"/>
        </w:rPr>
        <w:t>murid</w:t>
      </w:r>
      <w:proofErr w:type="gramEnd"/>
      <w:r w:rsidRPr="00FD2290">
        <w:rPr>
          <w:rFonts w:ascii="Times New Roman" w:hAnsi="Times New Roman" w:cs="Times New Roman"/>
          <w:sz w:val="24"/>
          <w:szCs w:val="24"/>
        </w:rPr>
        <w:t>-Nya sambil berkata: “Inilah tubuh-Ku yang diserahkan bagimu; perbuatlah ini menjadi peringatan akan Aku.” Demikian pula dengan cawan anggur: “Cawan ini adalah perjanjian baru oleh darah-Ku; perbuatlah ini, setiap kali kamu meminumnya, menjadi peringatan akan Aku.” Paulus menegaskan bahwa setiap kali jemaat makan roti dan minum cawan ini, mereka memberitakan kematian Tuhan sampai Ia datang kembali.</w:t>
      </w:r>
      <w:r w:rsidRPr="00FD2290">
        <w:rPr>
          <w:rStyle w:val="FootnoteReference"/>
          <w:rFonts w:ascii="Times New Roman" w:hAnsi="Times New Roman" w:cs="Times New Roman"/>
          <w:sz w:val="24"/>
          <w:szCs w:val="24"/>
        </w:rPr>
        <w:footnoteReference w:id="1"/>
      </w:r>
    </w:p>
    <w:p w:rsidR="00FD2290" w:rsidRPr="00FD2290" w:rsidRDefault="00FD2290" w:rsidP="0048492B">
      <w:pPr>
        <w:spacing w:line="276" w:lineRule="auto"/>
        <w:ind w:firstLine="720"/>
        <w:jc w:val="both"/>
        <w:rPr>
          <w:rFonts w:ascii="Times New Roman" w:hAnsi="Times New Roman" w:cs="Times New Roman"/>
          <w:sz w:val="24"/>
          <w:szCs w:val="24"/>
        </w:rPr>
      </w:pPr>
      <w:r w:rsidRPr="00FD2290">
        <w:rPr>
          <w:rFonts w:ascii="Times New Roman" w:hAnsi="Times New Roman" w:cs="Times New Roman"/>
          <w:sz w:val="24"/>
          <w:szCs w:val="24"/>
        </w:rPr>
        <w:t>Namun, dalam konteks historis jemaat Korintus pada abad pertama Masehi, praktik Perjamuan Kudus mengalami penyimpangan yang sangat serius dan menyedihkan. Paulus menegur jemaat dengan tegas dan penuh kasih karena perjamuan agape (perjamuan kasih) yang biasanya menyertai Perjamuan Kudus telah berubah menjadi ajang pesta duniawi yang penuh perpecahan dan diskriminasi sosial. Orang-orang kaya dan berstatus tinggi tiba lebih awal di pertemuan, makan dan minum secara berlebihan hingga mabuk, sementara orang miskin, budak, atau yang datang terlambat hanya mendapat sisa-sisa makanan atau bahkan kelaparan dan dihina. Hal ini menyebabkan pertemuan mereka “bukan untuk yang lebih baik, melainkan untuk yang lebih buruk” (1 Korintus 11:17). Perilaku semacam ini merusak makna mendasar Perjamuan Kudus sebagai lambang kesatuan dalam tubuh Kristus (1 Korintus 10:16-17) dan mengubah sakramen suci menjadi simbol individualisme serta pembagian kelas sosial yang bertentangan dengan semangat Injil.</w:t>
      </w:r>
      <w:r w:rsidRPr="00FD2290">
        <w:rPr>
          <w:rStyle w:val="FootnoteReference"/>
          <w:rFonts w:ascii="Times New Roman" w:hAnsi="Times New Roman" w:cs="Times New Roman"/>
          <w:sz w:val="24"/>
          <w:szCs w:val="24"/>
        </w:rPr>
        <w:footnoteReference w:id="2"/>
      </w:r>
    </w:p>
    <w:p w:rsidR="00FD2290" w:rsidRPr="00FD2290" w:rsidRDefault="00FD2290" w:rsidP="0048492B">
      <w:pPr>
        <w:spacing w:line="276" w:lineRule="auto"/>
        <w:ind w:firstLine="720"/>
        <w:jc w:val="both"/>
        <w:rPr>
          <w:rFonts w:ascii="Times New Roman" w:hAnsi="Times New Roman" w:cs="Times New Roman"/>
          <w:sz w:val="24"/>
          <w:szCs w:val="24"/>
        </w:rPr>
      </w:pPr>
      <w:r w:rsidRPr="00FD2290">
        <w:rPr>
          <w:rFonts w:ascii="Times New Roman" w:hAnsi="Times New Roman" w:cs="Times New Roman"/>
          <w:sz w:val="24"/>
          <w:szCs w:val="24"/>
        </w:rPr>
        <w:t xml:space="preserve">Teks kunci yang menjadi fokus utama penelitian ini adalah 1 Korintus 11:27-30 (Terjemahan Baru): “Jadi barangsiapa dengan cara yang tidak layak makan roti atau minum cawan Tuhan, ia berdosa terhadap tubuh dan darah Tuhan. Karena itu hendaklah tiap-tiap orang menguji dirinya sendiri dan baru </w:t>
      </w:r>
      <w:r w:rsidRPr="00FD2290">
        <w:rPr>
          <w:rFonts w:ascii="Times New Roman" w:hAnsi="Times New Roman" w:cs="Times New Roman"/>
          <w:sz w:val="24"/>
          <w:szCs w:val="24"/>
        </w:rPr>
        <w:lastRenderedPageBreak/>
        <w:t>sesudah itu ia makan roti dan minum dari cawan itu. Karena barangsiapa makan dan minum tanpa mengakui tubuh Tuhan, ia makan dan minum penghukuman bagi dirinya sendiri. Itulah sebabnya banyak di antara kamu yang lemah dan sakit dan beberapa orang mati.”</w:t>
      </w:r>
    </w:p>
    <w:p w:rsidR="00FD2290" w:rsidRPr="00FD2290" w:rsidRDefault="00FD2290" w:rsidP="0048492B">
      <w:pPr>
        <w:spacing w:line="276" w:lineRule="auto"/>
        <w:ind w:firstLine="720"/>
        <w:jc w:val="both"/>
        <w:rPr>
          <w:rFonts w:ascii="Times New Roman" w:hAnsi="Times New Roman" w:cs="Times New Roman"/>
          <w:sz w:val="24"/>
          <w:szCs w:val="24"/>
        </w:rPr>
      </w:pPr>
      <w:r w:rsidRPr="00FD2290">
        <w:rPr>
          <w:rFonts w:ascii="Times New Roman" w:hAnsi="Times New Roman" w:cs="Times New Roman"/>
          <w:sz w:val="24"/>
          <w:szCs w:val="24"/>
        </w:rPr>
        <w:t>Kata kunci “dengan cara yang tidak layak” (</w:t>
      </w:r>
      <w:r w:rsidRPr="00FD2290">
        <w:rPr>
          <w:rFonts w:ascii="Times New Roman" w:hAnsi="Times New Roman" w:cs="Times New Roman"/>
          <w:i/>
          <w:iCs/>
          <w:sz w:val="24"/>
          <w:szCs w:val="24"/>
        </w:rPr>
        <w:t>anaxios</w:t>
      </w:r>
      <w:r w:rsidRPr="00FD2290">
        <w:rPr>
          <w:rFonts w:ascii="Times New Roman" w:hAnsi="Times New Roman" w:cs="Times New Roman"/>
          <w:sz w:val="24"/>
          <w:szCs w:val="24"/>
        </w:rPr>
        <w:t xml:space="preserve">) merupakan adverbia yang menekankan pada </w:t>
      </w:r>
      <w:r w:rsidRPr="00FD2290">
        <w:rPr>
          <w:rFonts w:ascii="Times New Roman" w:hAnsi="Times New Roman" w:cs="Times New Roman"/>
          <w:i/>
          <w:iCs/>
          <w:sz w:val="24"/>
          <w:szCs w:val="24"/>
        </w:rPr>
        <w:t>cara</w:t>
      </w:r>
      <w:r w:rsidRPr="00FD2290">
        <w:rPr>
          <w:rFonts w:ascii="Times New Roman" w:hAnsi="Times New Roman" w:cs="Times New Roman"/>
          <w:sz w:val="24"/>
          <w:szCs w:val="24"/>
        </w:rPr>
        <w:t xml:space="preserve"> atau </w:t>
      </w:r>
      <w:r w:rsidRPr="00FD2290">
        <w:rPr>
          <w:rFonts w:ascii="Times New Roman" w:hAnsi="Times New Roman" w:cs="Times New Roman"/>
          <w:i/>
          <w:iCs/>
          <w:sz w:val="24"/>
          <w:szCs w:val="24"/>
        </w:rPr>
        <w:t>sikap</w:t>
      </w:r>
      <w:r w:rsidRPr="00FD2290">
        <w:rPr>
          <w:rFonts w:ascii="Times New Roman" w:hAnsi="Times New Roman" w:cs="Times New Roman"/>
          <w:sz w:val="24"/>
          <w:szCs w:val="24"/>
        </w:rPr>
        <w:t xml:space="preserve"> pelaksanaan sakramen, bukan pada kondisi pribadi peserta yang “layak” secara moral (karena pada hakikatnya semua manusia adalah berdosa dan hanya layak oleh kasih karunia Kristus semata). Sikap tidak layak ini mencakup hati yang acuh tak acuh, tidak menghormati nilai pengorbanan Kristus, tidak peduli terhadap sesama jemaat, serta gagal membedakan (</w:t>
      </w:r>
      <w:r w:rsidRPr="00FD2290">
        <w:rPr>
          <w:rFonts w:ascii="Times New Roman" w:hAnsi="Times New Roman" w:cs="Times New Roman"/>
          <w:i/>
          <w:iCs/>
          <w:sz w:val="24"/>
          <w:szCs w:val="24"/>
        </w:rPr>
        <w:t>diakrino</w:t>
      </w:r>
      <w:r w:rsidRPr="00FD2290">
        <w:rPr>
          <w:rFonts w:ascii="Times New Roman" w:hAnsi="Times New Roman" w:cs="Times New Roman"/>
          <w:sz w:val="24"/>
          <w:szCs w:val="24"/>
        </w:rPr>
        <w:t>) makna roti dan anggur sebagai lambang tubuh dan darah Tuhan yang kudus. Akibat langsungnya adalah orang tersebut menjadi “bersalah” (</w:t>
      </w:r>
      <w:r w:rsidRPr="00FD2290">
        <w:rPr>
          <w:rFonts w:ascii="Times New Roman" w:hAnsi="Times New Roman" w:cs="Times New Roman"/>
          <w:i/>
          <w:iCs/>
          <w:sz w:val="24"/>
          <w:szCs w:val="24"/>
        </w:rPr>
        <w:t>enokhos</w:t>
      </w:r>
      <w:r w:rsidRPr="00FD2290">
        <w:rPr>
          <w:rFonts w:ascii="Times New Roman" w:hAnsi="Times New Roman" w:cs="Times New Roman"/>
          <w:sz w:val="24"/>
          <w:szCs w:val="24"/>
        </w:rPr>
        <w:t>) terhadap tubuh dan darah Tuhan seolah-olah ikut bertanggung jawab atas penyaliban Kristus karena meremehkan maknanya yang agung. Penghukuman yang muncul berupa kelemahan, sakit, dan kematian dipahami sebagai bentuk disiplin ilahi yang bertujuan mendidik dan membawa pertobatan, bukan sebagai hukuman kekal atau kutukan mutlak.</w:t>
      </w:r>
      <w:r w:rsidRPr="00FD2290">
        <w:rPr>
          <w:rStyle w:val="FootnoteReference"/>
          <w:rFonts w:ascii="Times New Roman" w:hAnsi="Times New Roman" w:cs="Times New Roman"/>
          <w:sz w:val="24"/>
          <w:szCs w:val="24"/>
        </w:rPr>
        <w:footnoteReference w:id="3"/>
      </w:r>
    </w:p>
    <w:p w:rsidR="00FD2290" w:rsidRPr="00FD2290" w:rsidRDefault="00FD2290" w:rsidP="0048492B">
      <w:pPr>
        <w:spacing w:line="276" w:lineRule="auto"/>
        <w:ind w:firstLine="720"/>
        <w:jc w:val="both"/>
        <w:rPr>
          <w:rFonts w:ascii="Times New Roman" w:hAnsi="Times New Roman" w:cs="Times New Roman"/>
          <w:sz w:val="24"/>
          <w:szCs w:val="24"/>
        </w:rPr>
      </w:pPr>
      <w:r w:rsidRPr="00FD2290">
        <w:rPr>
          <w:rFonts w:ascii="Times New Roman" w:hAnsi="Times New Roman" w:cs="Times New Roman"/>
          <w:sz w:val="24"/>
          <w:szCs w:val="24"/>
        </w:rPr>
        <w:t>Penelitian ini sangat relevan dan mendesak bagi jemaat Tuhan di Indonesia serta di seluruh dunia pada masa kini. Seringkali Perjamuan Kudus dilaksanakan secara formalistik, rutin tanpa persiapan hati yang mendalam, atau bahkan disertai dengan konflik internal, iri hati, gosip, dan perpecahan di dalam gereja. Sikap beribadah yang dangkal dan superfisial ini dapat mereduksi sakramen menjadi simbol kosong yang kehilangan kuasanya, padahal seharusnya menjadi momen pertemuan rohani yang kuat dan pribadi dengan Kristus yang hadir secara khusus melalui Roh Kudus.</w:t>
      </w:r>
    </w:p>
    <w:p w:rsidR="00FD2290" w:rsidRPr="00FD2290" w:rsidRDefault="00FD2290" w:rsidP="0048492B">
      <w:pPr>
        <w:spacing w:line="276" w:lineRule="auto"/>
        <w:ind w:firstLine="720"/>
        <w:jc w:val="both"/>
        <w:rPr>
          <w:rFonts w:ascii="Times New Roman" w:hAnsi="Times New Roman" w:cs="Times New Roman"/>
          <w:sz w:val="24"/>
          <w:szCs w:val="24"/>
        </w:rPr>
      </w:pPr>
      <w:r w:rsidRPr="00FD2290">
        <w:rPr>
          <w:rFonts w:ascii="Times New Roman" w:hAnsi="Times New Roman" w:cs="Times New Roman"/>
          <w:sz w:val="24"/>
          <w:szCs w:val="24"/>
        </w:rPr>
        <w:t xml:space="preserve">Tujuan penulisan jurnal ini adalah: (1) melakukan eksegesis mendalam dan komprehensif terhadap 1 Korintus 11:27-30 dari berbagai aspek (historis, gramatikal, teologis); (2) menganalisis implikasi teks tersebut secara luas terhadap sikap beribadah jemaat; (3) merumuskan aplikasi praktis dan teologis yang relevan bagi gereja masa kini; serta (4) memberikan sumbangsih yang </w:t>
      </w:r>
      <w:r w:rsidRPr="00FD2290">
        <w:rPr>
          <w:rFonts w:ascii="Times New Roman" w:hAnsi="Times New Roman" w:cs="Times New Roman"/>
          <w:sz w:val="24"/>
          <w:szCs w:val="24"/>
        </w:rPr>
        <w:lastRenderedPageBreak/>
        <w:t>berarti bagi pengajaran, liturgi, dan pembinaan rohani di gereja-gereja lokal. Penelitian ini diharapkan menjadi bahan renungan, khotbah, dan pembinaan yang mendalam bagi para hamba Tuhan, pemimpin gereja, serta seluruh jemaat.</w:t>
      </w:r>
      <w:r w:rsidRPr="00FD2290">
        <w:rPr>
          <w:rStyle w:val="FootnoteReference"/>
          <w:rFonts w:ascii="Times New Roman" w:hAnsi="Times New Roman" w:cs="Times New Roman"/>
          <w:sz w:val="24"/>
          <w:szCs w:val="24"/>
        </w:rPr>
        <w:footnoteReference w:id="4"/>
      </w:r>
    </w:p>
    <w:p w:rsidR="00FD2290" w:rsidRPr="00FD2290" w:rsidRDefault="00FD2290" w:rsidP="0048492B">
      <w:pPr>
        <w:spacing w:line="276" w:lineRule="auto"/>
        <w:jc w:val="both"/>
        <w:rPr>
          <w:rFonts w:ascii="Times New Roman" w:hAnsi="Times New Roman" w:cs="Times New Roman"/>
          <w:sz w:val="24"/>
          <w:szCs w:val="24"/>
        </w:rPr>
      </w:pPr>
      <w:r w:rsidRPr="00FD2290">
        <w:rPr>
          <w:rFonts w:ascii="Times New Roman" w:hAnsi="Times New Roman" w:cs="Times New Roman"/>
          <w:b/>
          <w:bCs/>
          <w:sz w:val="24"/>
          <w:szCs w:val="24"/>
        </w:rPr>
        <w:t>Metode Penelitian</w:t>
      </w:r>
    </w:p>
    <w:p w:rsidR="00FD2290" w:rsidRPr="00FD2290" w:rsidRDefault="00FD2290" w:rsidP="0048492B">
      <w:pPr>
        <w:spacing w:line="276" w:lineRule="auto"/>
        <w:ind w:firstLine="360"/>
        <w:jc w:val="both"/>
        <w:rPr>
          <w:rFonts w:ascii="Times New Roman" w:hAnsi="Times New Roman" w:cs="Times New Roman"/>
          <w:sz w:val="24"/>
          <w:szCs w:val="24"/>
        </w:rPr>
      </w:pPr>
      <w:r w:rsidRPr="00FD2290">
        <w:rPr>
          <w:rFonts w:ascii="Times New Roman" w:hAnsi="Times New Roman" w:cs="Times New Roman"/>
          <w:sz w:val="24"/>
          <w:szCs w:val="24"/>
        </w:rPr>
        <w:t>Penelitian ini bersifat kualitatif dengan pendekatan studi kepustakaan (</w:t>
      </w:r>
      <w:r w:rsidRPr="00FD2290">
        <w:rPr>
          <w:rFonts w:ascii="Times New Roman" w:hAnsi="Times New Roman" w:cs="Times New Roman"/>
          <w:i/>
          <w:iCs/>
          <w:sz w:val="24"/>
          <w:szCs w:val="24"/>
        </w:rPr>
        <w:t>library research</w:t>
      </w:r>
      <w:r w:rsidRPr="00FD2290">
        <w:rPr>
          <w:rFonts w:ascii="Times New Roman" w:hAnsi="Times New Roman" w:cs="Times New Roman"/>
          <w:sz w:val="24"/>
          <w:szCs w:val="24"/>
        </w:rPr>
        <w:t>) yang dikombinasikan secara integral dengan metode eksegesis Alkitab historis-kritis, gramatikal, kontekstual, serta teologis. Langkah-langkah eksegesis yang dilakukan meliputi hal-hal berikut secara sistematis:</w:t>
      </w:r>
    </w:p>
    <w:p w:rsidR="00FD2290" w:rsidRPr="00FD2290" w:rsidRDefault="00FD2290" w:rsidP="0048492B">
      <w:pPr>
        <w:numPr>
          <w:ilvl w:val="0"/>
          <w:numId w:val="1"/>
        </w:numPr>
        <w:spacing w:line="276" w:lineRule="auto"/>
        <w:jc w:val="both"/>
        <w:rPr>
          <w:rFonts w:ascii="Times New Roman" w:hAnsi="Times New Roman" w:cs="Times New Roman"/>
          <w:sz w:val="24"/>
          <w:szCs w:val="24"/>
        </w:rPr>
      </w:pPr>
      <w:r w:rsidRPr="00FD2290">
        <w:rPr>
          <w:rFonts w:ascii="Times New Roman" w:hAnsi="Times New Roman" w:cs="Times New Roman"/>
          <w:b/>
          <w:bCs/>
          <w:sz w:val="24"/>
          <w:szCs w:val="24"/>
        </w:rPr>
        <w:t>Analisis Historis-Kritis</w:t>
      </w:r>
      <w:r w:rsidRPr="00FD2290">
        <w:rPr>
          <w:rFonts w:ascii="Times New Roman" w:hAnsi="Times New Roman" w:cs="Times New Roman"/>
          <w:sz w:val="24"/>
          <w:szCs w:val="24"/>
        </w:rPr>
        <w:t>: Memahami secara mendalam konteks sosial, budaya, ekonomi, politik, dan gerejawi jemaat Korintus pada abad pertama Masehi. Korintus adalah kota pelabuhan kosmopolitan di Yunani dengan pengaruh budaya Yunani-Romawi yang sangat kuat, di mana perbedaan kelas sosial sangat tajam, pesta-pesta keagamaan sering disalahgunakan, dan perpecahan menjadi masalah umum dalam komunitas-komunitas.</w:t>
      </w:r>
    </w:p>
    <w:p w:rsidR="00FD2290" w:rsidRPr="00FD2290" w:rsidRDefault="00FD2290" w:rsidP="0048492B">
      <w:pPr>
        <w:numPr>
          <w:ilvl w:val="0"/>
          <w:numId w:val="1"/>
        </w:numPr>
        <w:spacing w:line="276" w:lineRule="auto"/>
        <w:jc w:val="both"/>
        <w:rPr>
          <w:rFonts w:ascii="Times New Roman" w:hAnsi="Times New Roman" w:cs="Times New Roman"/>
          <w:sz w:val="24"/>
          <w:szCs w:val="24"/>
        </w:rPr>
      </w:pPr>
      <w:r w:rsidRPr="00FD2290">
        <w:rPr>
          <w:rFonts w:ascii="Times New Roman" w:hAnsi="Times New Roman" w:cs="Times New Roman"/>
          <w:b/>
          <w:bCs/>
          <w:sz w:val="24"/>
          <w:szCs w:val="24"/>
        </w:rPr>
        <w:t>Analisis Tekstual dan Gramatikal</w:t>
      </w:r>
      <w:r w:rsidRPr="00FD2290">
        <w:rPr>
          <w:rFonts w:ascii="Times New Roman" w:hAnsi="Times New Roman" w:cs="Times New Roman"/>
          <w:sz w:val="24"/>
          <w:szCs w:val="24"/>
        </w:rPr>
        <w:t xml:space="preserve">: Memeriksa teks asli bahasa Yunani Koine dengan menggunakan edisi kritis seperti Nestle-Aland atau UBS. Kata-kata kunci dianalisis secara rinci, antara lain: </w:t>
      </w:r>
      <w:r w:rsidRPr="00FD2290">
        <w:rPr>
          <w:rFonts w:ascii="Times New Roman" w:hAnsi="Times New Roman" w:cs="Times New Roman"/>
          <w:i/>
          <w:iCs/>
          <w:sz w:val="24"/>
          <w:szCs w:val="24"/>
        </w:rPr>
        <w:t>anaxios</w:t>
      </w:r>
      <w:r w:rsidRPr="00FD2290">
        <w:rPr>
          <w:rFonts w:ascii="Times New Roman" w:hAnsi="Times New Roman" w:cs="Times New Roman"/>
          <w:sz w:val="24"/>
          <w:szCs w:val="24"/>
        </w:rPr>
        <w:t xml:space="preserve"> (dengan cara tidak layak), </w:t>
      </w:r>
      <w:r w:rsidRPr="00FD2290">
        <w:rPr>
          <w:rFonts w:ascii="Times New Roman" w:hAnsi="Times New Roman" w:cs="Times New Roman"/>
          <w:i/>
          <w:iCs/>
          <w:sz w:val="24"/>
          <w:szCs w:val="24"/>
        </w:rPr>
        <w:t>enokhos</w:t>
      </w:r>
      <w:r w:rsidRPr="00FD2290">
        <w:rPr>
          <w:rFonts w:ascii="Times New Roman" w:hAnsi="Times New Roman" w:cs="Times New Roman"/>
          <w:sz w:val="24"/>
          <w:szCs w:val="24"/>
        </w:rPr>
        <w:t xml:space="preserve"> (bersalah atau bertanggung jawab), </w:t>
      </w:r>
      <w:r w:rsidRPr="00FD2290">
        <w:rPr>
          <w:rFonts w:ascii="Times New Roman" w:hAnsi="Times New Roman" w:cs="Times New Roman"/>
          <w:i/>
          <w:iCs/>
          <w:sz w:val="24"/>
          <w:szCs w:val="24"/>
        </w:rPr>
        <w:t>dokimazo</w:t>
      </w:r>
      <w:r w:rsidRPr="00FD2290">
        <w:rPr>
          <w:rFonts w:ascii="Times New Roman" w:hAnsi="Times New Roman" w:cs="Times New Roman"/>
          <w:sz w:val="24"/>
          <w:szCs w:val="24"/>
        </w:rPr>
        <w:t xml:space="preserve"> (menguji atau memeriksa dengan tujuan persetujuan), </w:t>
      </w:r>
      <w:r w:rsidRPr="00FD2290">
        <w:rPr>
          <w:rFonts w:ascii="Times New Roman" w:hAnsi="Times New Roman" w:cs="Times New Roman"/>
          <w:i/>
          <w:iCs/>
          <w:sz w:val="24"/>
          <w:szCs w:val="24"/>
        </w:rPr>
        <w:t>diakrino</w:t>
      </w:r>
      <w:r w:rsidRPr="00FD2290">
        <w:rPr>
          <w:rFonts w:ascii="Times New Roman" w:hAnsi="Times New Roman" w:cs="Times New Roman"/>
          <w:sz w:val="24"/>
          <w:szCs w:val="24"/>
        </w:rPr>
        <w:t xml:space="preserve"> (membedakan atau mengakui dengan benar), </w:t>
      </w:r>
      <w:r w:rsidRPr="00FD2290">
        <w:rPr>
          <w:rFonts w:ascii="Times New Roman" w:hAnsi="Times New Roman" w:cs="Times New Roman"/>
          <w:i/>
          <w:iCs/>
          <w:sz w:val="24"/>
          <w:szCs w:val="24"/>
        </w:rPr>
        <w:t>krima</w:t>
      </w:r>
      <w:r w:rsidRPr="00FD2290">
        <w:rPr>
          <w:rFonts w:ascii="Times New Roman" w:hAnsi="Times New Roman" w:cs="Times New Roman"/>
          <w:sz w:val="24"/>
          <w:szCs w:val="24"/>
        </w:rPr>
        <w:t xml:space="preserve"> (penghukuman atau disiplin), </w:t>
      </w:r>
      <w:r w:rsidRPr="00FD2290">
        <w:rPr>
          <w:rFonts w:ascii="Times New Roman" w:hAnsi="Times New Roman" w:cs="Times New Roman"/>
          <w:i/>
          <w:iCs/>
          <w:sz w:val="24"/>
          <w:szCs w:val="24"/>
        </w:rPr>
        <w:t>asthenes</w:t>
      </w:r>
      <w:r w:rsidRPr="00FD2290">
        <w:rPr>
          <w:rFonts w:ascii="Times New Roman" w:hAnsi="Times New Roman" w:cs="Times New Roman"/>
          <w:sz w:val="24"/>
          <w:szCs w:val="24"/>
        </w:rPr>
        <w:t xml:space="preserve"> (lemah), </w:t>
      </w:r>
      <w:r w:rsidRPr="00FD2290">
        <w:rPr>
          <w:rFonts w:ascii="Times New Roman" w:hAnsi="Times New Roman" w:cs="Times New Roman"/>
          <w:i/>
          <w:iCs/>
          <w:sz w:val="24"/>
          <w:szCs w:val="24"/>
        </w:rPr>
        <w:t>arrostos</w:t>
      </w:r>
      <w:r w:rsidRPr="00FD2290">
        <w:rPr>
          <w:rFonts w:ascii="Times New Roman" w:hAnsi="Times New Roman" w:cs="Times New Roman"/>
          <w:sz w:val="24"/>
          <w:szCs w:val="24"/>
        </w:rPr>
        <w:t xml:space="preserve"> (sakit), serta </w:t>
      </w:r>
      <w:r w:rsidRPr="00FD2290">
        <w:rPr>
          <w:rFonts w:ascii="Times New Roman" w:hAnsi="Times New Roman" w:cs="Times New Roman"/>
          <w:i/>
          <w:iCs/>
          <w:sz w:val="24"/>
          <w:szCs w:val="24"/>
        </w:rPr>
        <w:t>koimao</w:t>
      </w:r>
      <w:r w:rsidRPr="00FD2290">
        <w:rPr>
          <w:rFonts w:ascii="Times New Roman" w:hAnsi="Times New Roman" w:cs="Times New Roman"/>
          <w:sz w:val="24"/>
          <w:szCs w:val="24"/>
        </w:rPr>
        <w:t xml:space="preserve"> (mati atau tidur dalam arti kematian).</w:t>
      </w:r>
    </w:p>
    <w:p w:rsidR="00FD2290" w:rsidRPr="00FD2290" w:rsidRDefault="00FD2290" w:rsidP="0048492B">
      <w:pPr>
        <w:numPr>
          <w:ilvl w:val="0"/>
          <w:numId w:val="1"/>
        </w:numPr>
        <w:spacing w:line="276" w:lineRule="auto"/>
        <w:jc w:val="both"/>
        <w:rPr>
          <w:rFonts w:ascii="Times New Roman" w:hAnsi="Times New Roman" w:cs="Times New Roman"/>
          <w:sz w:val="24"/>
          <w:szCs w:val="24"/>
        </w:rPr>
      </w:pPr>
      <w:r w:rsidRPr="00FD2290">
        <w:rPr>
          <w:rFonts w:ascii="Times New Roman" w:hAnsi="Times New Roman" w:cs="Times New Roman"/>
          <w:b/>
          <w:bCs/>
          <w:sz w:val="24"/>
          <w:szCs w:val="24"/>
        </w:rPr>
        <w:t>Analisis Kontekstual</w:t>
      </w:r>
      <w:r w:rsidRPr="00FD2290">
        <w:rPr>
          <w:rFonts w:ascii="Times New Roman" w:hAnsi="Times New Roman" w:cs="Times New Roman"/>
          <w:sz w:val="24"/>
          <w:szCs w:val="24"/>
        </w:rPr>
        <w:t>: Menghubungkan ayat 27-30 dengan konteks yang lebih luas dalam pasal yang sama (1 Korintus 11:17-34), seluruh surat 1 Korintus (yang membahas isu perpecahan, kesatuan, dan kesucian), serta dengan ajaran Perjanjian Baru lainnya tentang sakramen, ibadah, dan kesatuan tubuh Kristus.</w:t>
      </w:r>
    </w:p>
    <w:p w:rsidR="00FD2290" w:rsidRPr="00FD2290" w:rsidRDefault="00FD2290" w:rsidP="0048492B">
      <w:pPr>
        <w:numPr>
          <w:ilvl w:val="0"/>
          <w:numId w:val="1"/>
        </w:numPr>
        <w:spacing w:line="276" w:lineRule="auto"/>
        <w:jc w:val="both"/>
        <w:rPr>
          <w:rFonts w:ascii="Times New Roman" w:hAnsi="Times New Roman" w:cs="Times New Roman"/>
          <w:sz w:val="24"/>
          <w:szCs w:val="24"/>
        </w:rPr>
      </w:pPr>
      <w:r w:rsidRPr="00FD2290">
        <w:rPr>
          <w:rFonts w:ascii="Times New Roman" w:hAnsi="Times New Roman" w:cs="Times New Roman"/>
          <w:b/>
          <w:bCs/>
          <w:sz w:val="24"/>
          <w:szCs w:val="24"/>
        </w:rPr>
        <w:lastRenderedPageBreak/>
        <w:t>Studi Kepustakaan Komprehensif</w:t>
      </w:r>
      <w:r w:rsidRPr="00FD2290">
        <w:rPr>
          <w:rFonts w:ascii="Times New Roman" w:hAnsi="Times New Roman" w:cs="Times New Roman"/>
          <w:sz w:val="24"/>
          <w:szCs w:val="24"/>
        </w:rPr>
        <w:t>: Mengumpulkan dan menganalisis sumber primer (Alkitab dalam berbagai terjemahan resmi seperti Terjemahan Baru, BIS, LAI, serta teks Yunani asli) dan sumber sekunder berupa komentar Alkitab klasik maupun modern, jurnal teologi Indonesia dan internasional, serta artikel ilmiah terkait yang kredibel.</w:t>
      </w:r>
      <w:r w:rsidRPr="00FD2290">
        <w:rPr>
          <w:rStyle w:val="FootnoteReference"/>
          <w:rFonts w:ascii="Times New Roman" w:hAnsi="Times New Roman" w:cs="Times New Roman"/>
          <w:sz w:val="24"/>
          <w:szCs w:val="24"/>
        </w:rPr>
        <w:footnoteReference w:id="5"/>
      </w:r>
    </w:p>
    <w:p w:rsidR="00FD2290" w:rsidRPr="00FD2290" w:rsidRDefault="00FD2290" w:rsidP="0048492B">
      <w:pPr>
        <w:spacing w:line="276" w:lineRule="auto"/>
        <w:ind w:firstLine="720"/>
        <w:jc w:val="both"/>
        <w:rPr>
          <w:rFonts w:ascii="Times New Roman" w:hAnsi="Times New Roman" w:cs="Times New Roman"/>
          <w:sz w:val="24"/>
          <w:szCs w:val="24"/>
        </w:rPr>
      </w:pPr>
      <w:r w:rsidRPr="00FD2290">
        <w:rPr>
          <w:rFonts w:ascii="Times New Roman" w:hAnsi="Times New Roman" w:cs="Times New Roman"/>
          <w:sz w:val="24"/>
          <w:szCs w:val="24"/>
        </w:rPr>
        <w:t>Data yang terkumpul dianalisis secara deskriptif-analitis untuk menghasilkan interpretasi yang akurat, seimbang, kontekstual, serta relevan. Pendekatan ini memastikan bahwa penelitian bersifat objektif, mendalam, dan dapat memberikan aplikasi praktis yang berguna bagi konteks gereja di Indonesia saat ini.</w:t>
      </w:r>
    </w:p>
    <w:p w:rsidR="00FD2290" w:rsidRPr="00FD2290" w:rsidRDefault="00FD2290" w:rsidP="0048492B">
      <w:pPr>
        <w:spacing w:line="276" w:lineRule="auto"/>
        <w:jc w:val="both"/>
        <w:rPr>
          <w:rFonts w:ascii="Times New Roman" w:hAnsi="Times New Roman" w:cs="Times New Roman"/>
          <w:sz w:val="24"/>
          <w:szCs w:val="24"/>
        </w:rPr>
      </w:pPr>
      <w:r w:rsidRPr="00FD2290">
        <w:rPr>
          <w:rFonts w:ascii="Times New Roman" w:hAnsi="Times New Roman" w:cs="Times New Roman"/>
          <w:b/>
          <w:bCs/>
          <w:sz w:val="24"/>
          <w:szCs w:val="24"/>
        </w:rPr>
        <w:t>Pembahasan Isi</w:t>
      </w:r>
    </w:p>
    <w:p w:rsidR="00FD2290" w:rsidRPr="0048492B" w:rsidRDefault="00FD2290" w:rsidP="0048492B">
      <w:pPr>
        <w:pStyle w:val="ListParagraph"/>
        <w:numPr>
          <w:ilvl w:val="0"/>
          <w:numId w:val="5"/>
        </w:numPr>
        <w:spacing w:line="276" w:lineRule="auto"/>
        <w:ind w:left="284"/>
        <w:jc w:val="both"/>
        <w:rPr>
          <w:rFonts w:ascii="Times New Roman" w:hAnsi="Times New Roman" w:cs="Times New Roman"/>
          <w:sz w:val="24"/>
          <w:szCs w:val="24"/>
        </w:rPr>
      </w:pPr>
      <w:r w:rsidRPr="0048492B">
        <w:rPr>
          <w:rFonts w:ascii="Times New Roman" w:hAnsi="Times New Roman" w:cs="Times New Roman"/>
          <w:b/>
          <w:bCs/>
          <w:sz w:val="24"/>
          <w:szCs w:val="24"/>
        </w:rPr>
        <w:t>Konteks Historis dan Latar Belakang Praktik Perjamuan Kudus di Korintus</w:t>
      </w:r>
    </w:p>
    <w:p w:rsidR="00FD2290" w:rsidRPr="00FD2290" w:rsidRDefault="00FD2290" w:rsidP="0048492B">
      <w:pPr>
        <w:spacing w:line="276" w:lineRule="auto"/>
        <w:ind w:firstLine="720"/>
        <w:jc w:val="both"/>
        <w:rPr>
          <w:rFonts w:ascii="Times New Roman" w:hAnsi="Times New Roman" w:cs="Times New Roman"/>
          <w:sz w:val="24"/>
          <w:szCs w:val="24"/>
        </w:rPr>
      </w:pPr>
      <w:r w:rsidRPr="00FD2290">
        <w:rPr>
          <w:rFonts w:ascii="Times New Roman" w:hAnsi="Times New Roman" w:cs="Times New Roman"/>
          <w:sz w:val="24"/>
          <w:szCs w:val="24"/>
        </w:rPr>
        <w:t>Jemaat Korintus terdiri dari orang-orang dari latar belakang sosial yang sangat beragam: orang kaya dan miskin, budak dan merdeka, serta berbagai etnis. Perjamuan Kudus pada awalnya digabung dengan perjamuan agape, di mana setiap orang diharapkan membawa makanan sendiri untuk dimakan bersama sebagai ungkapan kasih persaudaraan dan kesatuan. Namun, praktik ini disalahgunakan secara parah. Orang kaya makan dan minum secara berlebihan hingga mabuk, sementara yang miskin diabaikan dan dihina. Hal ini menciptakan perpecahan yang tajam dan bertentangan dengan esensi Perjamuan Kudus sebagai lambang kesatuan tubuh Kristus. Paulus menegaskan bahwa perilaku tersebut merusak kesaksian gereja dan mendatangkan penghukuman ilahi sebagai bentuk disiplin.</w:t>
      </w:r>
      <w:r w:rsidRPr="00FD2290">
        <w:rPr>
          <w:rStyle w:val="FootnoteReference"/>
          <w:rFonts w:ascii="Times New Roman" w:hAnsi="Times New Roman" w:cs="Times New Roman"/>
          <w:sz w:val="24"/>
          <w:szCs w:val="24"/>
        </w:rPr>
        <w:footnoteReference w:id="6"/>
      </w:r>
    </w:p>
    <w:p w:rsidR="00FD2290" w:rsidRPr="0048492B" w:rsidRDefault="00FD2290" w:rsidP="0048492B">
      <w:pPr>
        <w:pStyle w:val="ListParagraph"/>
        <w:numPr>
          <w:ilvl w:val="0"/>
          <w:numId w:val="5"/>
        </w:numPr>
        <w:spacing w:line="276" w:lineRule="auto"/>
        <w:ind w:left="284"/>
        <w:jc w:val="both"/>
        <w:rPr>
          <w:rFonts w:ascii="Times New Roman" w:hAnsi="Times New Roman" w:cs="Times New Roman"/>
          <w:sz w:val="24"/>
          <w:szCs w:val="24"/>
        </w:rPr>
      </w:pPr>
      <w:r w:rsidRPr="0048492B">
        <w:rPr>
          <w:rFonts w:ascii="Times New Roman" w:hAnsi="Times New Roman" w:cs="Times New Roman"/>
          <w:b/>
          <w:bCs/>
          <w:sz w:val="24"/>
          <w:szCs w:val="24"/>
        </w:rPr>
        <w:t>Tafsir Mendalam Ayat per Ayat</w:t>
      </w:r>
    </w:p>
    <w:p w:rsidR="00FD2290" w:rsidRPr="00FD2290" w:rsidRDefault="00FD2290" w:rsidP="0048492B">
      <w:pPr>
        <w:numPr>
          <w:ilvl w:val="0"/>
          <w:numId w:val="2"/>
        </w:numPr>
        <w:spacing w:line="276" w:lineRule="auto"/>
        <w:jc w:val="both"/>
        <w:rPr>
          <w:rFonts w:ascii="Times New Roman" w:hAnsi="Times New Roman" w:cs="Times New Roman"/>
          <w:sz w:val="24"/>
          <w:szCs w:val="24"/>
        </w:rPr>
      </w:pPr>
      <w:r w:rsidRPr="00FD2290">
        <w:rPr>
          <w:rFonts w:ascii="Times New Roman" w:hAnsi="Times New Roman" w:cs="Times New Roman"/>
          <w:b/>
          <w:bCs/>
          <w:sz w:val="24"/>
          <w:szCs w:val="24"/>
        </w:rPr>
        <w:t>Ayat 27</w:t>
      </w:r>
      <w:r w:rsidRPr="00FD2290">
        <w:rPr>
          <w:rFonts w:ascii="Times New Roman" w:hAnsi="Times New Roman" w:cs="Times New Roman"/>
          <w:sz w:val="24"/>
          <w:szCs w:val="24"/>
        </w:rPr>
        <w:t xml:space="preserve">: “Barangsiapa dengan cara yang tidak layak makan roti atau minum cawan Tuhan, ia berdosa terhadap tubuh dan darah Tuhan.” </w:t>
      </w:r>
      <w:r w:rsidRPr="00FD2290">
        <w:rPr>
          <w:rFonts w:ascii="Times New Roman" w:hAnsi="Times New Roman" w:cs="Times New Roman"/>
          <w:sz w:val="24"/>
          <w:szCs w:val="24"/>
        </w:rPr>
        <w:lastRenderedPageBreak/>
        <w:t xml:space="preserve">Kata </w:t>
      </w:r>
      <w:r w:rsidRPr="00FD2290">
        <w:rPr>
          <w:rFonts w:ascii="Times New Roman" w:hAnsi="Times New Roman" w:cs="Times New Roman"/>
          <w:i/>
          <w:iCs/>
          <w:sz w:val="24"/>
          <w:szCs w:val="24"/>
        </w:rPr>
        <w:t>anaxios</w:t>
      </w:r>
      <w:r w:rsidRPr="00FD2290">
        <w:rPr>
          <w:rFonts w:ascii="Times New Roman" w:hAnsi="Times New Roman" w:cs="Times New Roman"/>
          <w:sz w:val="24"/>
          <w:szCs w:val="24"/>
        </w:rPr>
        <w:t xml:space="preserve"> menekankan sikap atau cara yang tidak hormat terhadap sakramen, bukan status pribadi peserta. Sikap ini mencakup acuh tak acuh, diskriminasi, atau memperlakukan elemen sakramen sebagai makanan biasa saja. Akibatnya adalah menjadi “bersalah” terhadap pengorbanan Kristus yang kudus.</w:t>
      </w:r>
      <w:r w:rsidRPr="00FD2290">
        <w:rPr>
          <w:rStyle w:val="FootnoteReference"/>
          <w:rFonts w:ascii="Times New Roman" w:hAnsi="Times New Roman" w:cs="Times New Roman"/>
          <w:sz w:val="24"/>
          <w:szCs w:val="24"/>
        </w:rPr>
        <w:footnoteReference w:id="7"/>
      </w:r>
    </w:p>
    <w:p w:rsidR="00FD2290" w:rsidRPr="00FD2290" w:rsidRDefault="00FD2290" w:rsidP="0048492B">
      <w:pPr>
        <w:numPr>
          <w:ilvl w:val="0"/>
          <w:numId w:val="2"/>
        </w:numPr>
        <w:spacing w:line="276" w:lineRule="auto"/>
        <w:jc w:val="both"/>
        <w:rPr>
          <w:rFonts w:ascii="Times New Roman" w:hAnsi="Times New Roman" w:cs="Times New Roman"/>
          <w:sz w:val="24"/>
          <w:szCs w:val="24"/>
        </w:rPr>
      </w:pPr>
      <w:r w:rsidRPr="00FD2290">
        <w:rPr>
          <w:rFonts w:ascii="Times New Roman" w:hAnsi="Times New Roman" w:cs="Times New Roman"/>
          <w:b/>
          <w:bCs/>
          <w:sz w:val="24"/>
          <w:szCs w:val="24"/>
        </w:rPr>
        <w:t>Ayat 28</w:t>
      </w:r>
      <w:r w:rsidRPr="00FD2290">
        <w:rPr>
          <w:rFonts w:ascii="Times New Roman" w:hAnsi="Times New Roman" w:cs="Times New Roman"/>
          <w:sz w:val="24"/>
          <w:szCs w:val="24"/>
        </w:rPr>
        <w:t>: “Hendaklah tiap-tiap orang menguji dirinya sendiri (</w:t>
      </w:r>
      <w:r w:rsidRPr="00FD2290">
        <w:rPr>
          <w:rFonts w:ascii="Times New Roman" w:hAnsi="Times New Roman" w:cs="Times New Roman"/>
          <w:i/>
          <w:iCs/>
          <w:sz w:val="24"/>
          <w:szCs w:val="24"/>
        </w:rPr>
        <w:t>dokimazo</w:t>
      </w:r>
      <w:r w:rsidRPr="00FD2290">
        <w:rPr>
          <w:rFonts w:ascii="Times New Roman" w:hAnsi="Times New Roman" w:cs="Times New Roman"/>
          <w:sz w:val="24"/>
          <w:szCs w:val="24"/>
        </w:rPr>
        <w:t>)...” Ini merupakan panggilan introspeksi mendalam: mengakui dosa pribadi dan sosial, bertobat dengan sungguh-sungguh, berdamai dengan sesama (bandingkan Matius 5:23-24), serta datang dengan hati yang rendah hati dan penuh syukur kepada Tuhan.</w:t>
      </w:r>
      <w:r w:rsidRPr="00FD2290">
        <w:rPr>
          <w:rStyle w:val="FootnoteReference"/>
          <w:rFonts w:ascii="Times New Roman" w:hAnsi="Times New Roman" w:cs="Times New Roman"/>
          <w:sz w:val="24"/>
          <w:szCs w:val="24"/>
        </w:rPr>
        <w:footnoteReference w:id="8"/>
      </w:r>
    </w:p>
    <w:p w:rsidR="00FD2290" w:rsidRPr="00FD2290" w:rsidRDefault="00FD2290" w:rsidP="0048492B">
      <w:pPr>
        <w:numPr>
          <w:ilvl w:val="0"/>
          <w:numId w:val="2"/>
        </w:numPr>
        <w:spacing w:line="276" w:lineRule="auto"/>
        <w:jc w:val="both"/>
        <w:rPr>
          <w:rFonts w:ascii="Times New Roman" w:hAnsi="Times New Roman" w:cs="Times New Roman"/>
          <w:sz w:val="24"/>
          <w:szCs w:val="24"/>
        </w:rPr>
      </w:pPr>
      <w:r w:rsidRPr="00FD2290">
        <w:rPr>
          <w:rFonts w:ascii="Times New Roman" w:hAnsi="Times New Roman" w:cs="Times New Roman"/>
          <w:b/>
          <w:bCs/>
          <w:sz w:val="24"/>
          <w:szCs w:val="24"/>
        </w:rPr>
        <w:t>Ayat 29</w:t>
      </w:r>
      <w:r w:rsidRPr="00FD2290">
        <w:rPr>
          <w:rFonts w:ascii="Times New Roman" w:hAnsi="Times New Roman" w:cs="Times New Roman"/>
          <w:sz w:val="24"/>
          <w:szCs w:val="24"/>
        </w:rPr>
        <w:t>: “Tanpa mengakui tubuh Tuhan (</w:t>
      </w:r>
      <w:r w:rsidRPr="00FD2290">
        <w:rPr>
          <w:rFonts w:ascii="Times New Roman" w:hAnsi="Times New Roman" w:cs="Times New Roman"/>
          <w:i/>
          <w:iCs/>
          <w:sz w:val="24"/>
          <w:szCs w:val="24"/>
        </w:rPr>
        <w:t xml:space="preserve">me diakrinon to </w:t>
      </w:r>
      <w:proofErr w:type="gramStart"/>
      <w:r w:rsidRPr="00FD2290">
        <w:rPr>
          <w:rFonts w:ascii="Times New Roman" w:hAnsi="Times New Roman" w:cs="Times New Roman"/>
          <w:i/>
          <w:iCs/>
          <w:sz w:val="24"/>
          <w:szCs w:val="24"/>
        </w:rPr>
        <w:t>soma</w:t>
      </w:r>
      <w:r w:rsidRPr="00FD2290">
        <w:rPr>
          <w:rFonts w:ascii="Times New Roman" w:hAnsi="Times New Roman" w:cs="Times New Roman"/>
          <w:sz w:val="24"/>
          <w:szCs w:val="24"/>
        </w:rPr>
        <w:t>)...</w:t>
      </w:r>
      <w:proofErr w:type="gramEnd"/>
      <w:r w:rsidRPr="00FD2290">
        <w:rPr>
          <w:rFonts w:ascii="Times New Roman" w:hAnsi="Times New Roman" w:cs="Times New Roman"/>
          <w:sz w:val="24"/>
          <w:szCs w:val="24"/>
        </w:rPr>
        <w:t>” Frasa ini merujuk pada kegagalan membedakan makna tubuh Kristus, baik yang fisik (yang dikorbankan di salib) maupun mistik (yaitu gereja sebagai tubuh Kristus). Kegagalan ini menyebabkan orang makan dan minum “penghukuman bagi dirinya sendiri” (</w:t>
      </w:r>
      <w:r w:rsidRPr="00FD2290">
        <w:rPr>
          <w:rFonts w:ascii="Times New Roman" w:hAnsi="Times New Roman" w:cs="Times New Roman"/>
          <w:i/>
          <w:iCs/>
          <w:sz w:val="24"/>
          <w:szCs w:val="24"/>
        </w:rPr>
        <w:t>krima</w:t>
      </w:r>
      <w:r w:rsidRPr="00FD2290">
        <w:rPr>
          <w:rFonts w:ascii="Times New Roman" w:hAnsi="Times New Roman" w:cs="Times New Roman"/>
          <w:sz w:val="24"/>
          <w:szCs w:val="24"/>
        </w:rPr>
        <w:t>).</w:t>
      </w:r>
      <w:r w:rsidRPr="00FD2290">
        <w:rPr>
          <w:rStyle w:val="FootnoteReference"/>
          <w:rFonts w:ascii="Times New Roman" w:hAnsi="Times New Roman" w:cs="Times New Roman"/>
          <w:sz w:val="24"/>
          <w:szCs w:val="24"/>
        </w:rPr>
        <w:footnoteReference w:id="9"/>
      </w:r>
    </w:p>
    <w:p w:rsidR="00FD2290" w:rsidRPr="00FD2290" w:rsidRDefault="00FD2290" w:rsidP="0048492B">
      <w:pPr>
        <w:numPr>
          <w:ilvl w:val="0"/>
          <w:numId w:val="2"/>
        </w:numPr>
        <w:spacing w:line="276" w:lineRule="auto"/>
        <w:jc w:val="both"/>
        <w:rPr>
          <w:rFonts w:ascii="Times New Roman" w:hAnsi="Times New Roman" w:cs="Times New Roman"/>
          <w:sz w:val="24"/>
          <w:szCs w:val="24"/>
        </w:rPr>
      </w:pPr>
      <w:r w:rsidRPr="00FD2290">
        <w:rPr>
          <w:rFonts w:ascii="Times New Roman" w:hAnsi="Times New Roman" w:cs="Times New Roman"/>
          <w:b/>
          <w:bCs/>
          <w:sz w:val="24"/>
          <w:szCs w:val="24"/>
        </w:rPr>
        <w:t>Ayat 30</w:t>
      </w:r>
      <w:r w:rsidRPr="00FD2290">
        <w:rPr>
          <w:rFonts w:ascii="Times New Roman" w:hAnsi="Times New Roman" w:cs="Times New Roman"/>
          <w:sz w:val="24"/>
          <w:szCs w:val="24"/>
        </w:rPr>
        <w:t>: “Banyak di antara kamu yang lemah dan sakit dan beberapa orang mati.” Paulus melihat fenomena ini sebagai bukti nyata disiplin Tuhan yang bertujuan mendidik, bukan menghancurkan. Tujuannya agar jemaat bertobat dan tidak dihukum bersama dunia (ayat 31-32). Beberapa penafsir memahami secara jasmani literal, sementara yang lain melihat dimensi rohani yang lebih luas.</w:t>
      </w:r>
      <w:r w:rsidRPr="00FD2290">
        <w:rPr>
          <w:rStyle w:val="FootnoteReference"/>
          <w:rFonts w:ascii="Times New Roman" w:hAnsi="Times New Roman" w:cs="Times New Roman"/>
          <w:sz w:val="24"/>
          <w:szCs w:val="24"/>
        </w:rPr>
        <w:footnoteReference w:id="10"/>
      </w:r>
    </w:p>
    <w:p w:rsidR="00FD2290" w:rsidRPr="0048492B" w:rsidRDefault="00FD2290" w:rsidP="0048492B">
      <w:pPr>
        <w:pStyle w:val="ListParagraph"/>
        <w:numPr>
          <w:ilvl w:val="0"/>
          <w:numId w:val="5"/>
        </w:numPr>
        <w:spacing w:line="276" w:lineRule="auto"/>
        <w:ind w:left="284"/>
        <w:jc w:val="both"/>
        <w:rPr>
          <w:rFonts w:ascii="Times New Roman" w:hAnsi="Times New Roman" w:cs="Times New Roman"/>
          <w:sz w:val="24"/>
          <w:szCs w:val="24"/>
        </w:rPr>
      </w:pPr>
      <w:r w:rsidRPr="0048492B">
        <w:rPr>
          <w:rFonts w:ascii="Times New Roman" w:hAnsi="Times New Roman" w:cs="Times New Roman"/>
          <w:b/>
          <w:bCs/>
          <w:sz w:val="24"/>
          <w:szCs w:val="24"/>
        </w:rPr>
        <w:t>Implikasi Teologis dan Praktis terhadap Sikap Beribadah Jemaat Tuhan</w:t>
      </w:r>
    </w:p>
    <w:p w:rsidR="00FD2290" w:rsidRPr="00FD2290" w:rsidRDefault="00FD2290" w:rsidP="0048492B">
      <w:pPr>
        <w:spacing w:line="276" w:lineRule="auto"/>
        <w:ind w:firstLine="720"/>
        <w:jc w:val="both"/>
        <w:rPr>
          <w:rFonts w:ascii="Times New Roman" w:hAnsi="Times New Roman" w:cs="Times New Roman"/>
          <w:sz w:val="24"/>
          <w:szCs w:val="24"/>
        </w:rPr>
      </w:pPr>
      <w:r w:rsidRPr="00FD2290">
        <w:rPr>
          <w:rFonts w:ascii="Times New Roman" w:hAnsi="Times New Roman" w:cs="Times New Roman"/>
          <w:sz w:val="24"/>
          <w:szCs w:val="24"/>
        </w:rPr>
        <w:t>Sikap beribadah yang layak dalam Perjamuan Kudus mencakup beberapa dimensi penting yang saling terkait:</w:t>
      </w:r>
    </w:p>
    <w:p w:rsidR="00FD2290" w:rsidRPr="00FD2290" w:rsidRDefault="00FD2290" w:rsidP="0048492B">
      <w:pPr>
        <w:numPr>
          <w:ilvl w:val="0"/>
          <w:numId w:val="3"/>
        </w:numPr>
        <w:spacing w:line="276" w:lineRule="auto"/>
        <w:jc w:val="both"/>
        <w:rPr>
          <w:rFonts w:ascii="Times New Roman" w:hAnsi="Times New Roman" w:cs="Times New Roman"/>
          <w:sz w:val="24"/>
          <w:szCs w:val="24"/>
        </w:rPr>
      </w:pPr>
      <w:r w:rsidRPr="00FD2290">
        <w:rPr>
          <w:rFonts w:ascii="Times New Roman" w:hAnsi="Times New Roman" w:cs="Times New Roman"/>
          <w:b/>
          <w:bCs/>
          <w:sz w:val="24"/>
          <w:szCs w:val="24"/>
        </w:rPr>
        <w:lastRenderedPageBreak/>
        <w:t>Penghormatan dan Kesadaran Rohani yang Mendalam</w:t>
      </w:r>
      <w:r w:rsidRPr="00FD2290">
        <w:rPr>
          <w:rFonts w:ascii="Times New Roman" w:hAnsi="Times New Roman" w:cs="Times New Roman"/>
          <w:sz w:val="24"/>
          <w:szCs w:val="24"/>
        </w:rPr>
        <w:t>: Perjamuan Kudus adalah pertemuan sakral dengan Kristus yang hadir secara rohani. Sikap acuh tak acuh atau hipokrit sama saja dengan meremehkan salib Kristus.</w:t>
      </w:r>
    </w:p>
    <w:p w:rsidR="00FD2290" w:rsidRPr="00FD2290" w:rsidRDefault="00FD2290" w:rsidP="0048492B">
      <w:pPr>
        <w:numPr>
          <w:ilvl w:val="0"/>
          <w:numId w:val="3"/>
        </w:numPr>
        <w:spacing w:line="276" w:lineRule="auto"/>
        <w:jc w:val="both"/>
        <w:rPr>
          <w:rFonts w:ascii="Times New Roman" w:hAnsi="Times New Roman" w:cs="Times New Roman"/>
          <w:sz w:val="24"/>
          <w:szCs w:val="24"/>
        </w:rPr>
      </w:pPr>
      <w:r w:rsidRPr="00FD2290">
        <w:rPr>
          <w:rFonts w:ascii="Times New Roman" w:hAnsi="Times New Roman" w:cs="Times New Roman"/>
          <w:b/>
          <w:bCs/>
          <w:sz w:val="24"/>
          <w:szCs w:val="24"/>
        </w:rPr>
        <w:t>Pemeriksaan Diri yang Jujur dan Berkelanjutan</w:t>
      </w:r>
      <w:r w:rsidRPr="00FD2290">
        <w:rPr>
          <w:rFonts w:ascii="Times New Roman" w:hAnsi="Times New Roman" w:cs="Times New Roman"/>
          <w:sz w:val="24"/>
          <w:szCs w:val="24"/>
        </w:rPr>
        <w:t>: Sebelum ikut serta, setiap jemaat harus melakukan refleksi mendalam, pengakuan dosa, serta upaya rekonsiliasi dengan sesama.</w:t>
      </w:r>
    </w:p>
    <w:p w:rsidR="00FD2290" w:rsidRPr="00FD2290" w:rsidRDefault="00FD2290" w:rsidP="0048492B">
      <w:pPr>
        <w:numPr>
          <w:ilvl w:val="0"/>
          <w:numId w:val="3"/>
        </w:numPr>
        <w:spacing w:line="276" w:lineRule="auto"/>
        <w:jc w:val="both"/>
        <w:rPr>
          <w:rFonts w:ascii="Times New Roman" w:hAnsi="Times New Roman" w:cs="Times New Roman"/>
          <w:sz w:val="24"/>
          <w:szCs w:val="24"/>
        </w:rPr>
      </w:pPr>
      <w:r w:rsidRPr="00FD2290">
        <w:rPr>
          <w:rFonts w:ascii="Times New Roman" w:hAnsi="Times New Roman" w:cs="Times New Roman"/>
          <w:b/>
          <w:bCs/>
          <w:sz w:val="24"/>
          <w:szCs w:val="24"/>
        </w:rPr>
        <w:t>Kesatuan dan Kasih Persaudaraan yang Nyata</w:t>
      </w:r>
      <w:r w:rsidRPr="00FD2290">
        <w:rPr>
          <w:rFonts w:ascii="Times New Roman" w:hAnsi="Times New Roman" w:cs="Times New Roman"/>
          <w:sz w:val="24"/>
          <w:szCs w:val="24"/>
        </w:rPr>
        <w:t xml:space="preserve">: Perjamuan menekankan </w:t>
      </w:r>
      <w:r w:rsidRPr="00FD2290">
        <w:rPr>
          <w:rFonts w:ascii="Times New Roman" w:hAnsi="Times New Roman" w:cs="Times New Roman"/>
          <w:i/>
          <w:iCs/>
          <w:sz w:val="24"/>
          <w:szCs w:val="24"/>
        </w:rPr>
        <w:t>koinonia</w:t>
      </w:r>
      <w:r w:rsidRPr="00FD2290">
        <w:rPr>
          <w:rFonts w:ascii="Times New Roman" w:hAnsi="Times New Roman" w:cs="Times New Roman"/>
          <w:sz w:val="24"/>
          <w:szCs w:val="24"/>
        </w:rPr>
        <w:t xml:space="preserve"> atau persekutuan yang sejati. Segala bentuk perpecahan, diskriminasi, atau individualisme bertentangan dengan makna sakramen ini.</w:t>
      </w:r>
    </w:p>
    <w:p w:rsidR="00FD2290" w:rsidRPr="00FD2290" w:rsidRDefault="00FD2290" w:rsidP="0048492B">
      <w:pPr>
        <w:numPr>
          <w:ilvl w:val="0"/>
          <w:numId w:val="3"/>
        </w:numPr>
        <w:spacing w:line="276" w:lineRule="auto"/>
        <w:jc w:val="both"/>
        <w:rPr>
          <w:rFonts w:ascii="Times New Roman" w:hAnsi="Times New Roman" w:cs="Times New Roman"/>
          <w:sz w:val="24"/>
          <w:szCs w:val="24"/>
        </w:rPr>
      </w:pPr>
      <w:r w:rsidRPr="00FD2290">
        <w:rPr>
          <w:rFonts w:ascii="Times New Roman" w:hAnsi="Times New Roman" w:cs="Times New Roman"/>
          <w:b/>
          <w:bCs/>
          <w:sz w:val="24"/>
          <w:szCs w:val="24"/>
        </w:rPr>
        <w:t>Transformasi Kehidupan Sehari-hari</w:t>
      </w:r>
      <w:r w:rsidRPr="00FD2290">
        <w:rPr>
          <w:rFonts w:ascii="Times New Roman" w:hAnsi="Times New Roman" w:cs="Times New Roman"/>
          <w:sz w:val="24"/>
          <w:szCs w:val="24"/>
        </w:rPr>
        <w:t>: Sikap layak harus menghasilkan kehidupan kudus, penuh kasih, dan kesaksian yang konsisten di luar ruang ibadah.</w:t>
      </w:r>
      <w:r w:rsidRPr="00FD2290">
        <w:rPr>
          <w:rStyle w:val="FootnoteReference"/>
          <w:rFonts w:ascii="Times New Roman" w:hAnsi="Times New Roman" w:cs="Times New Roman"/>
          <w:sz w:val="24"/>
          <w:szCs w:val="24"/>
        </w:rPr>
        <w:footnoteReference w:id="11"/>
      </w:r>
    </w:p>
    <w:p w:rsidR="00FD2290" w:rsidRPr="00FD2290" w:rsidRDefault="00FD2290" w:rsidP="0048492B">
      <w:pPr>
        <w:spacing w:line="276" w:lineRule="auto"/>
        <w:ind w:firstLine="720"/>
        <w:jc w:val="both"/>
        <w:rPr>
          <w:rFonts w:ascii="Times New Roman" w:hAnsi="Times New Roman" w:cs="Times New Roman"/>
          <w:sz w:val="24"/>
          <w:szCs w:val="24"/>
        </w:rPr>
      </w:pPr>
      <w:r w:rsidRPr="00FD2290">
        <w:rPr>
          <w:rFonts w:ascii="Times New Roman" w:hAnsi="Times New Roman" w:cs="Times New Roman"/>
          <w:sz w:val="24"/>
          <w:szCs w:val="24"/>
        </w:rPr>
        <w:t>Dalam konteks masa kini, gereja perlu mengajarkan makna ini secara rutin, menyediakan momen persiapan hati sebelum sakramen, serta memastikan liturgi pelaksanaan mencerminkan kesatuan dan penghormatan yang tinggi.</w:t>
      </w:r>
    </w:p>
    <w:p w:rsidR="0048492B" w:rsidRPr="0048492B" w:rsidRDefault="0048492B" w:rsidP="0048492B">
      <w:pPr>
        <w:spacing w:line="276" w:lineRule="auto"/>
        <w:jc w:val="both"/>
        <w:rPr>
          <w:rFonts w:ascii="Times New Roman" w:hAnsi="Times New Roman" w:cs="Times New Roman"/>
          <w:b/>
          <w:bCs/>
          <w:sz w:val="24"/>
          <w:szCs w:val="24"/>
        </w:rPr>
      </w:pPr>
      <w:r w:rsidRPr="0048492B">
        <w:rPr>
          <w:rFonts w:ascii="Times New Roman" w:hAnsi="Times New Roman" w:cs="Times New Roman"/>
          <w:b/>
          <w:bCs/>
          <w:sz w:val="24"/>
          <w:szCs w:val="24"/>
        </w:rPr>
        <w:t>Kesimpulan</w:t>
      </w:r>
    </w:p>
    <w:p w:rsidR="0048492B" w:rsidRPr="0048492B" w:rsidRDefault="0048492B" w:rsidP="0048492B">
      <w:pPr>
        <w:spacing w:line="276" w:lineRule="auto"/>
        <w:ind w:firstLine="720"/>
        <w:jc w:val="both"/>
        <w:rPr>
          <w:rFonts w:ascii="Times New Roman" w:hAnsi="Times New Roman" w:cs="Times New Roman"/>
          <w:bCs/>
          <w:sz w:val="24"/>
          <w:szCs w:val="24"/>
        </w:rPr>
      </w:pPr>
      <w:r w:rsidRPr="0048492B">
        <w:rPr>
          <w:rFonts w:ascii="Times New Roman" w:hAnsi="Times New Roman" w:cs="Times New Roman"/>
          <w:bCs/>
          <w:sz w:val="24"/>
          <w:szCs w:val="24"/>
        </w:rPr>
        <w:t>Eksegesis mendalam terhadap 1 Korintus 11:27-30 mengungkapkan bahwa Sakramen Perjamuan Kudus bukanlah ritual keagamaan biasa, melainkan sebuah sakramen yang penuh kuasa sekaligus sangat serius. Rasul Paulus dengan tegas memperingatkan bahwa mengambil Perjamuan Kudus dengan sikap tidak layak (</w:t>
      </w:r>
      <w:r w:rsidRPr="0048492B">
        <w:rPr>
          <w:rFonts w:ascii="Times New Roman" w:hAnsi="Times New Roman" w:cs="Times New Roman"/>
          <w:bCs/>
          <w:i/>
          <w:iCs/>
          <w:sz w:val="24"/>
          <w:szCs w:val="24"/>
        </w:rPr>
        <w:t>anaxios</w:t>
      </w:r>
      <w:r w:rsidRPr="0048492B">
        <w:rPr>
          <w:rFonts w:ascii="Times New Roman" w:hAnsi="Times New Roman" w:cs="Times New Roman"/>
          <w:bCs/>
          <w:sz w:val="24"/>
          <w:szCs w:val="24"/>
        </w:rPr>
        <w:t>) bukan hanya suatu ketidakacuhan, tetapi dapat mendatangkan disiplin ilahi yang nyata berupa kelemahan (</w:t>
      </w:r>
      <w:r w:rsidRPr="0048492B">
        <w:rPr>
          <w:rFonts w:ascii="Times New Roman" w:hAnsi="Times New Roman" w:cs="Times New Roman"/>
          <w:bCs/>
          <w:i/>
          <w:iCs/>
          <w:sz w:val="24"/>
          <w:szCs w:val="24"/>
        </w:rPr>
        <w:t>asthenes</w:t>
      </w:r>
      <w:r w:rsidRPr="0048492B">
        <w:rPr>
          <w:rFonts w:ascii="Times New Roman" w:hAnsi="Times New Roman" w:cs="Times New Roman"/>
          <w:bCs/>
          <w:sz w:val="24"/>
          <w:szCs w:val="24"/>
        </w:rPr>
        <w:t>), penyakit (</w:t>
      </w:r>
      <w:r w:rsidRPr="0048492B">
        <w:rPr>
          <w:rFonts w:ascii="Times New Roman" w:hAnsi="Times New Roman" w:cs="Times New Roman"/>
          <w:bCs/>
          <w:i/>
          <w:iCs/>
          <w:sz w:val="24"/>
          <w:szCs w:val="24"/>
        </w:rPr>
        <w:t>arrostos</w:t>
      </w:r>
      <w:r w:rsidRPr="0048492B">
        <w:rPr>
          <w:rFonts w:ascii="Times New Roman" w:hAnsi="Times New Roman" w:cs="Times New Roman"/>
          <w:bCs/>
          <w:sz w:val="24"/>
          <w:szCs w:val="24"/>
        </w:rPr>
        <w:t>), dan bahkan kematian (</w:t>
      </w:r>
      <w:r w:rsidRPr="0048492B">
        <w:rPr>
          <w:rFonts w:ascii="Times New Roman" w:hAnsi="Times New Roman" w:cs="Times New Roman"/>
          <w:bCs/>
          <w:i/>
          <w:iCs/>
          <w:sz w:val="24"/>
          <w:szCs w:val="24"/>
        </w:rPr>
        <w:t>koimao</w:t>
      </w:r>
      <w:r w:rsidRPr="0048492B">
        <w:rPr>
          <w:rFonts w:ascii="Times New Roman" w:hAnsi="Times New Roman" w:cs="Times New Roman"/>
          <w:bCs/>
          <w:sz w:val="24"/>
          <w:szCs w:val="24"/>
        </w:rPr>
        <w:t>) di tengah jemaat. Penghukuman ini bukanlah bentuk kemarahan acak dari Allah, melainkan disiplin kasih ilahi yang bertujuan mendidik, membetulkan, dan membawa jemaat kepada pertobatan yang sejati (1 Korintus 11:31-32).</w:t>
      </w:r>
    </w:p>
    <w:p w:rsidR="0048492B" w:rsidRPr="0048492B" w:rsidRDefault="0048492B" w:rsidP="0048492B">
      <w:pPr>
        <w:spacing w:line="276" w:lineRule="auto"/>
        <w:ind w:firstLine="720"/>
        <w:jc w:val="both"/>
        <w:rPr>
          <w:rFonts w:ascii="Times New Roman" w:hAnsi="Times New Roman" w:cs="Times New Roman"/>
          <w:bCs/>
          <w:sz w:val="24"/>
          <w:szCs w:val="24"/>
        </w:rPr>
      </w:pPr>
      <w:r w:rsidRPr="0048492B">
        <w:rPr>
          <w:rFonts w:ascii="Times New Roman" w:hAnsi="Times New Roman" w:cs="Times New Roman"/>
          <w:bCs/>
          <w:sz w:val="24"/>
          <w:szCs w:val="24"/>
        </w:rPr>
        <w:lastRenderedPageBreak/>
        <w:t>Bagi gereja Tuhan di masa kini, khususnya di konteks Indonesia yang kaya akan keberagaman sosial, budaya, dan latar belakang ekonomi, teks ini menyampaikan panggilan yang kuat dan mendesak. Perjamuan Kudus tidak boleh direduksi menjadi sekadar formalitas ibadah mingguan atau rutinitas liturgis yang kosong. Sebaliknya, sakramen ini harus dipahami dan dialami sebagai perjumpaan rohani yang mendalam dengan Kristus yang tersalib dan yang akan datang kembali.</w:t>
      </w:r>
    </w:p>
    <w:p w:rsidR="0048492B" w:rsidRPr="0048492B" w:rsidRDefault="0048492B" w:rsidP="0048492B">
      <w:pPr>
        <w:spacing w:line="276" w:lineRule="auto"/>
        <w:ind w:firstLine="720"/>
        <w:jc w:val="both"/>
        <w:rPr>
          <w:rFonts w:ascii="Times New Roman" w:hAnsi="Times New Roman" w:cs="Times New Roman"/>
          <w:bCs/>
          <w:sz w:val="24"/>
          <w:szCs w:val="24"/>
        </w:rPr>
      </w:pPr>
      <w:r w:rsidRPr="0048492B">
        <w:rPr>
          <w:rFonts w:ascii="Times New Roman" w:hAnsi="Times New Roman" w:cs="Times New Roman"/>
          <w:bCs/>
          <w:sz w:val="24"/>
          <w:szCs w:val="24"/>
        </w:rPr>
        <w:t>Penelitian ini menegaskan bahwa sikap yang layak dalam Perjamuan Kudus harus ditandai oleh beberapa dimensi penting: penghormatan yang mendalam terhadap pengorbanan tubuh dan darah Kristus, pemeriksaan diri (</w:t>
      </w:r>
      <w:r w:rsidRPr="0048492B">
        <w:rPr>
          <w:rFonts w:ascii="Times New Roman" w:hAnsi="Times New Roman" w:cs="Times New Roman"/>
          <w:bCs/>
          <w:i/>
          <w:iCs/>
          <w:sz w:val="24"/>
          <w:szCs w:val="24"/>
        </w:rPr>
        <w:t>dokimazo</w:t>
      </w:r>
      <w:r w:rsidRPr="0048492B">
        <w:rPr>
          <w:rFonts w:ascii="Times New Roman" w:hAnsi="Times New Roman" w:cs="Times New Roman"/>
          <w:bCs/>
          <w:sz w:val="24"/>
          <w:szCs w:val="24"/>
        </w:rPr>
        <w:t>) yang jujur dan teliti, pengakuan akan kesatuan Tubuh Kristus, serta komitmen untuk hidup dalam kasih persaudaraan dan kesucian sehari-hari. Ketika sakramen ini diambil dengan sikap yang benar, ia menjadi sarana pembaharuan rohani, pemulihan persekutuan, dan kesaksian yang hidup di hadapan dunia.</w:t>
      </w:r>
    </w:p>
    <w:p w:rsidR="0048492B" w:rsidRPr="0048492B" w:rsidRDefault="0048492B" w:rsidP="0048492B">
      <w:pPr>
        <w:spacing w:line="276" w:lineRule="auto"/>
        <w:ind w:firstLine="720"/>
        <w:jc w:val="both"/>
        <w:rPr>
          <w:rFonts w:ascii="Times New Roman" w:hAnsi="Times New Roman" w:cs="Times New Roman"/>
          <w:bCs/>
          <w:sz w:val="24"/>
          <w:szCs w:val="24"/>
        </w:rPr>
      </w:pPr>
      <w:r w:rsidRPr="0048492B">
        <w:rPr>
          <w:rFonts w:ascii="Times New Roman" w:hAnsi="Times New Roman" w:cs="Times New Roman"/>
          <w:bCs/>
          <w:sz w:val="24"/>
          <w:szCs w:val="24"/>
        </w:rPr>
        <w:t>Dari temuan penelitian ini, beberapa aplikasi praktis yang dapat diimplementasikan oleh gereja adalah sebagai berikut:</w:t>
      </w:r>
    </w:p>
    <w:p w:rsidR="0048492B" w:rsidRPr="0048492B" w:rsidRDefault="0048492B" w:rsidP="0048492B">
      <w:pPr>
        <w:numPr>
          <w:ilvl w:val="0"/>
          <w:numId w:val="4"/>
        </w:numPr>
        <w:spacing w:line="276" w:lineRule="auto"/>
        <w:jc w:val="both"/>
        <w:rPr>
          <w:rFonts w:ascii="Times New Roman" w:hAnsi="Times New Roman" w:cs="Times New Roman"/>
          <w:bCs/>
          <w:sz w:val="24"/>
          <w:szCs w:val="24"/>
        </w:rPr>
      </w:pPr>
      <w:r w:rsidRPr="0048492B">
        <w:rPr>
          <w:rFonts w:ascii="Times New Roman" w:hAnsi="Times New Roman" w:cs="Times New Roman"/>
          <w:bCs/>
          <w:sz w:val="24"/>
          <w:szCs w:val="24"/>
        </w:rPr>
        <w:t>Pengajaran yang rutin dan mendalam tentang makna teologis Perjamuan Kudus, sehingga jemaat tidak hanya memahami ritualnya, tetapi juga substansi rohaninya.</w:t>
      </w:r>
    </w:p>
    <w:p w:rsidR="0048492B" w:rsidRPr="0048492B" w:rsidRDefault="0048492B" w:rsidP="0048492B">
      <w:pPr>
        <w:numPr>
          <w:ilvl w:val="0"/>
          <w:numId w:val="4"/>
        </w:numPr>
        <w:spacing w:line="276" w:lineRule="auto"/>
        <w:jc w:val="both"/>
        <w:rPr>
          <w:rFonts w:ascii="Times New Roman" w:hAnsi="Times New Roman" w:cs="Times New Roman"/>
          <w:bCs/>
          <w:sz w:val="24"/>
          <w:szCs w:val="24"/>
        </w:rPr>
      </w:pPr>
      <w:r w:rsidRPr="0048492B">
        <w:rPr>
          <w:rFonts w:ascii="Times New Roman" w:hAnsi="Times New Roman" w:cs="Times New Roman"/>
          <w:bCs/>
          <w:sz w:val="24"/>
          <w:szCs w:val="24"/>
        </w:rPr>
        <w:t>Penyediaan waktu refleksi dan persiapan hati yang memadai sebelum pelaksanaan Perjamuan Kudus, termasuk momen doa pengakuan dosa, pemeriksaan diri, dan rekonsiliasi antar sesama.</w:t>
      </w:r>
    </w:p>
    <w:p w:rsidR="0048492B" w:rsidRPr="0048492B" w:rsidRDefault="0048492B" w:rsidP="0048492B">
      <w:pPr>
        <w:numPr>
          <w:ilvl w:val="0"/>
          <w:numId w:val="4"/>
        </w:numPr>
        <w:spacing w:line="276" w:lineRule="auto"/>
        <w:jc w:val="both"/>
        <w:rPr>
          <w:rFonts w:ascii="Times New Roman" w:hAnsi="Times New Roman" w:cs="Times New Roman"/>
          <w:bCs/>
          <w:sz w:val="24"/>
          <w:szCs w:val="24"/>
        </w:rPr>
      </w:pPr>
      <w:r w:rsidRPr="0048492B">
        <w:rPr>
          <w:rFonts w:ascii="Times New Roman" w:hAnsi="Times New Roman" w:cs="Times New Roman"/>
          <w:bCs/>
          <w:sz w:val="24"/>
          <w:szCs w:val="24"/>
        </w:rPr>
        <w:t>Penekanan yang kuat pada kesatuan dan kasih persaudaraan, dengan menghindari segala bentuk diskriminasi, pembagian kelas, atau perpecahan dalam konteks pelaksanaan sakramen.</w:t>
      </w:r>
    </w:p>
    <w:p w:rsidR="0048492B" w:rsidRPr="0048492B" w:rsidRDefault="0048492B" w:rsidP="0048492B">
      <w:pPr>
        <w:numPr>
          <w:ilvl w:val="0"/>
          <w:numId w:val="4"/>
        </w:numPr>
        <w:spacing w:line="276" w:lineRule="auto"/>
        <w:jc w:val="both"/>
        <w:rPr>
          <w:rFonts w:ascii="Times New Roman" w:hAnsi="Times New Roman" w:cs="Times New Roman"/>
          <w:bCs/>
          <w:sz w:val="24"/>
          <w:szCs w:val="24"/>
        </w:rPr>
      </w:pPr>
      <w:r w:rsidRPr="0048492B">
        <w:rPr>
          <w:rFonts w:ascii="Times New Roman" w:hAnsi="Times New Roman" w:cs="Times New Roman"/>
          <w:bCs/>
          <w:sz w:val="24"/>
          <w:szCs w:val="24"/>
        </w:rPr>
        <w:t>Integrasi makna Perjamuan Kudus ke dalam kehidupan sehari-hari, sehingga partisipasi dalam sakramen ini membawa dampak transformasional dalam sikap, perilaku, dan hubungan antar jemaat.</w:t>
      </w:r>
    </w:p>
    <w:p w:rsidR="0048492B" w:rsidRPr="0048492B" w:rsidRDefault="0048492B" w:rsidP="0048492B">
      <w:pPr>
        <w:numPr>
          <w:ilvl w:val="0"/>
          <w:numId w:val="4"/>
        </w:numPr>
        <w:spacing w:line="276" w:lineRule="auto"/>
        <w:jc w:val="both"/>
        <w:rPr>
          <w:rFonts w:ascii="Times New Roman" w:hAnsi="Times New Roman" w:cs="Times New Roman"/>
          <w:bCs/>
          <w:sz w:val="24"/>
          <w:szCs w:val="24"/>
        </w:rPr>
      </w:pPr>
      <w:r w:rsidRPr="0048492B">
        <w:rPr>
          <w:rFonts w:ascii="Times New Roman" w:hAnsi="Times New Roman" w:cs="Times New Roman"/>
          <w:bCs/>
          <w:sz w:val="24"/>
          <w:szCs w:val="24"/>
        </w:rPr>
        <w:t>Evaluasi dan pembaruan liturgi secara berkala, agar pelaksanaan Perjamuan Kudus semakin bermakna, khidmat, dan berkuasa, bukan menjadi rutinitas yang kehilangan esensinya.</w:t>
      </w:r>
    </w:p>
    <w:p w:rsidR="0048492B" w:rsidRPr="0048492B" w:rsidRDefault="0048492B" w:rsidP="0048492B">
      <w:pPr>
        <w:spacing w:line="276" w:lineRule="auto"/>
        <w:ind w:firstLine="360"/>
        <w:jc w:val="both"/>
        <w:rPr>
          <w:rFonts w:ascii="Times New Roman" w:hAnsi="Times New Roman" w:cs="Times New Roman"/>
          <w:bCs/>
          <w:sz w:val="24"/>
          <w:szCs w:val="24"/>
        </w:rPr>
      </w:pPr>
      <w:r w:rsidRPr="0048492B">
        <w:rPr>
          <w:rFonts w:ascii="Times New Roman" w:hAnsi="Times New Roman" w:cs="Times New Roman"/>
          <w:bCs/>
          <w:sz w:val="24"/>
          <w:szCs w:val="24"/>
        </w:rPr>
        <w:lastRenderedPageBreak/>
        <w:t>Pada akhirnya, Perjamuan Kudus adalah anugerah besar yang diberikan Tuhan kepada gereja-Nya. Apabila dirayakan dengan sikap yang layak dan hati yang benar, sakramen ini akan menjadi sarana yang sangat powerful bagi pembaharuan pribadi, pemulihan persekutuan gereja, serta kesaksian yang menyatakan kasih dan kesatuan Kristus di tengah dunia yang semakin terpecah. Sebaliknya, jika diabaikan maknanya, sakramen yang sama justru dapat menjadi sarana disiplin ilahi.</w:t>
      </w:r>
    </w:p>
    <w:p w:rsidR="0048492B" w:rsidRPr="0048492B" w:rsidRDefault="0048492B" w:rsidP="0048492B">
      <w:pPr>
        <w:spacing w:line="276" w:lineRule="auto"/>
        <w:ind w:firstLine="720"/>
        <w:jc w:val="both"/>
        <w:rPr>
          <w:rFonts w:ascii="Times New Roman" w:hAnsi="Times New Roman" w:cs="Times New Roman"/>
          <w:bCs/>
          <w:sz w:val="24"/>
          <w:szCs w:val="24"/>
        </w:rPr>
      </w:pPr>
      <w:r w:rsidRPr="0048492B">
        <w:rPr>
          <w:rFonts w:ascii="Times New Roman" w:hAnsi="Times New Roman" w:cs="Times New Roman"/>
          <w:bCs/>
          <w:sz w:val="24"/>
          <w:szCs w:val="24"/>
        </w:rPr>
        <w:t>Oleh karena itu, marilah gereja Tuhan di zaman ini kembali memperbarui cara ia merayakan Perjamuan Kudus, sehingga sakramen ini benar-benar menjadi peringatan yang hidup akan salib Kristus, persekutuan yang nyata dengan Dia dan sesama, serta pengharapan yang teguh akan kedatangan-Nya yang kedua kali.</w:t>
      </w:r>
    </w:p>
    <w:p w:rsidR="0048492B" w:rsidRPr="0048492B" w:rsidRDefault="0048492B" w:rsidP="0048492B">
      <w:pPr>
        <w:spacing w:line="276" w:lineRule="auto"/>
        <w:jc w:val="both"/>
        <w:rPr>
          <w:rFonts w:ascii="Times New Roman" w:hAnsi="Times New Roman" w:cs="Times New Roman"/>
          <w:sz w:val="24"/>
          <w:szCs w:val="24"/>
        </w:rPr>
      </w:pPr>
      <w:r w:rsidRPr="0048492B">
        <w:rPr>
          <w:rFonts w:ascii="Times New Roman" w:hAnsi="Times New Roman" w:cs="Times New Roman"/>
          <w:b/>
          <w:bCs/>
          <w:sz w:val="24"/>
          <w:szCs w:val="24"/>
        </w:rPr>
        <w:t>Daftar Pustaka</w:t>
      </w:r>
    </w:p>
    <w:p w:rsidR="0048492B" w:rsidRPr="0048492B" w:rsidRDefault="0048492B" w:rsidP="0048492B">
      <w:pPr>
        <w:spacing w:line="276" w:lineRule="auto"/>
        <w:ind w:left="1418" w:hanging="567"/>
        <w:jc w:val="both"/>
        <w:rPr>
          <w:rFonts w:ascii="Times New Roman" w:hAnsi="Times New Roman" w:cs="Times New Roman"/>
          <w:sz w:val="24"/>
          <w:szCs w:val="24"/>
        </w:rPr>
      </w:pPr>
      <w:r w:rsidRPr="0048492B">
        <w:rPr>
          <w:rFonts w:ascii="Times New Roman" w:hAnsi="Times New Roman" w:cs="Times New Roman"/>
          <w:sz w:val="24"/>
          <w:szCs w:val="24"/>
        </w:rPr>
        <w:t xml:space="preserve">Ademiluka, Stephen O. “Interpreting 1 Corinthians 11:27–30 in Light of the Denial and Avoidance of the Holy Communion in Some Churches.” </w:t>
      </w:r>
      <w:r w:rsidRPr="0048492B">
        <w:rPr>
          <w:rFonts w:ascii="Times New Roman" w:hAnsi="Times New Roman" w:cs="Times New Roman"/>
          <w:i/>
          <w:iCs/>
          <w:sz w:val="24"/>
          <w:szCs w:val="24"/>
        </w:rPr>
        <w:t>HTS Teologiese Studies/Theological Studies</w:t>
      </w:r>
      <w:r w:rsidRPr="0048492B">
        <w:rPr>
          <w:rFonts w:ascii="Times New Roman" w:hAnsi="Times New Roman" w:cs="Times New Roman"/>
          <w:sz w:val="24"/>
          <w:szCs w:val="24"/>
        </w:rPr>
        <w:t xml:space="preserve"> 78, no. 4 (2022).</w:t>
      </w:r>
    </w:p>
    <w:p w:rsidR="0048492B" w:rsidRPr="0048492B" w:rsidRDefault="0048492B" w:rsidP="0048492B">
      <w:pPr>
        <w:spacing w:line="276" w:lineRule="auto"/>
        <w:ind w:left="1418" w:hanging="567"/>
        <w:jc w:val="both"/>
        <w:rPr>
          <w:rFonts w:ascii="Times New Roman" w:hAnsi="Times New Roman" w:cs="Times New Roman"/>
          <w:sz w:val="24"/>
          <w:szCs w:val="24"/>
        </w:rPr>
      </w:pPr>
      <w:r w:rsidRPr="0048492B">
        <w:rPr>
          <w:rFonts w:ascii="Times New Roman" w:hAnsi="Times New Roman" w:cs="Times New Roman"/>
          <w:sz w:val="24"/>
          <w:szCs w:val="24"/>
        </w:rPr>
        <w:t>Alkitab Terjemahan Baru. Jakarta: Lembaga Alkitab Indonesia, 1974.</w:t>
      </w:r>
    </w:p>
    <w:p w:rsidR="0048492B" w:rsidRPr="0048492B" w:rsidRDefault="0048492B" w:rsidP="0048492B">
      <w:pPr>
        <w:spacing w:line="276" w:lineRule="auto"/>
        <w:ind w:left="1418" w:hanging="567"/>
        <w:jc w:val="both"/>
        <w:rPr>
          <w:rFonts w:ascii="Times New Roman" w:hAnsi="Times New Roman" w:cs="Times New Roman"/>
          <w:sz w:val="24"/>
          <w:szCs w:val="24"/>
        </w:rPr>
      </w:pPr>
      <w:r w:rsidRPr="0048492B">
        <w:rPr>
          <w:rFonts w:ascii="Times New Roman" w:hAnsi="Times New Roman" w:cs="Times New Roman"/>
          <w:sz w:val="24"/>
          <w:szCs w:val="24"/>
        </w:rPr>
        <w:t xml:space="preserve">Barclay, William. </w:t>
      </w:r>
      <w:r w:rsidRPr="0048492B">
        <w:rPr>
          <w:rFonts w:ascii="Times New Roman" w:hAnsi="Times New Roman" w:cs="Times New Roman"/>
          <w:i/>
          <w:iCs/>
          <w:sz w:val="24"/>
          <w:szCs w:val="24"/>
        </w:rPr>
        <w:t>The Letters to the Corinthians</w:t>
      </w:r>
      <w:r w:rsidRPr="0048492B">
        <w:rPr>
          <w:rFonts w:ascii="Times New Roman" w:hAnsi="Times New Roman" w:cs="Times New Roman"/>
          <w:sz w:val="24"/>
          <w:szCs w:val="24"/>
        </w:rPr>
        <w:t>. Daily Study Bible. Philadelphia: Westminster Press, 1975.</w:t>
      </w:r>
    </w:p>
    <w:p w:rsidR="0048492B" w:rsidRPr="0048492B" w:rsidRDefault="0048492B" w:rsidP="0048492B">
      <w:pPr>
        <w:spacing w:line="276" w:lineRule="auto"/>
        <w:ind w:left="1418" w:hanging="567"/>
        <w:jc w:val="both"/>
        <w:rPr>
          <w:rFonts w:ascii="Times New Roman" w:hAnsi="Times New Roman" w:cs="Times New Roman"/>
          <w:sz w:val="24"/>
          <w:szCs w:val="24"/>
        </w:rPr>
      </w:pPr>
      <w:r w:rsidRPr="0048492B">
        <w:rPr>
          <w:rFonts w:ascii="Times New Roman" w:hAnsi="Times New Roman" w:cs="Times New Roman"/>
          <w:sz w:val="24"/>
          <w:szCs w:val="24"/>
        </w:rPr>
        <w:t xml:space="preserve">Fee, Gordon D. </w:t>
      </w:r>
      <w:r w:rsidRPr="0048492B">
        <w:rPr>
          <w:rFonts w:ascii="Times New Roman" w:hAnsi="Times New Roman" w:cs="Times New Roman"/>
          <w:i/>
          <w:iCs/>
          <w:sz w:val="24"/>
          <w:szCs w:val="24"/>
        </w:rPr>
        <w:t>The First Epistle to the Corinthians</w:t>
      </w:r>
      <w:r w:rsidRPr="0048492B">
        <w:rPr>
          <w:rFonts w:ascii="Times New Roman" w:hAnsi="Times New Roman" w:cs="Times New Roman"/>
          <w:sz w:val="24"/>
          <w:szCs w:val="24"/>
        </w:rPr>
        <w:t>. NICNT. Revised Edition. Grand Rapids: Eerdmans, 2014.</w:t>
      </w:r>
    </w:p>
    <w:p w:rsidR="0048492B" w:rsidRPr="0048492B" w:rsidRDefault="0048492B" w:rsidP="0048492B">
      <w:pPr>
        <w:spacing w:line="276" w:lineRule="auto"/>
        <w:ind w:left="1418" w:hanging="567"/>
        <w:jc w:val="both"/>
        <w:rPr>
          <w:rFonts w:ascii="Times New Roman" w:hAnsi="Times New Roman" w:cs="Times New Roman"/>
          <w:sz w:val="24"/>
          <w:szCs w:val="24"/>
        </w:rPr>
      </w:pPr>
      <w:r w:rsidRPr="0048492B">
        <w:rPr>
          <w:rFonts w:ascii="Times New Roman" w:hAnsi="Times New Roman" w:cs="Times New Roman"/>
          <w:sz w:val="24"/>
          <w:szCs w:val="24"/>
        </w:rPr>
        <w:t xml:space="preserve">Garland, David E. </w:t>
      </w:r>
      <w:r w:rsidRPr="0048492B">
        <w:rPr>
          <w:rFonts w:ascii="Times New Roman" w:hAnsi="Times New Roman" w:cs="Times New Roman"/>
          <w:i/>
          <w:iCs/>
          <w:sz w:val="24"/>
          <w:szCs w:val="24"/>
        </w:rPr>
        <w:t>1 Corinthians</w:t>
      </w:r>
      <w:r w:rsidRPr="0048492B">
        <w:rPr>
          <w:rFonts w:ascii="Times New Roman" w:hAnsi="Times New Roman" w:cs="Times New Roman"/>
          <w:sz w:val="24"/>
          <w:szCs w:val="24"/>
        </w:rPr>
        <w:t>. Baker Exegetical Commentary on the New Testament. Grand Rapids: Baker Academic, 2003.</w:t>
      </w:r>
    </w:p>
    <w:p w:rsidR="0048492B" w:rsidRPr="0048492B" w:rsidRDefault="0048492B" w:rsidP="0048492B">
      <w:pPr>
        <w:spacing w:line="276" w:lineRule="auto"/>
        <w:ind w:left="1418" w:hanging="567"/>
        <w:jc w:val="both"/>
        <w:rPr>
          <w:rFonts w:ascii="Times New Roman" w:hAnsi="Times New Roman" w:cs="Times New Roman"/>
          <w:sz w:val="24"/>
          <w:szCs w:val="24"/>
        </w:rPr>
      </w:pPr>
      <w:r w:rsidRPr="0048492B">
        <w:rPr>
          <w:rFonts w:ascii="Times New Roman" w:hAnsi="Times New Roman" w:cs="Times New Roman"/>
          <w:sz w:val="24"/>
          <w:szCs w:val="24"/>
        </w:rPr>
        <w:t xml:space="preserve">Gill, John. </w:t>
      </w:r>
      <w:r w:rsidRPr="0048492B">
        <w:rPr>
          <w:rFonts w:ascii="Times New Roman" w:hAnsi="Times New Roman" w:cs="Times New Roman"/>
          <w:i/>
          <w:iCs/>
          <w:sz w:val="24"/>
          <w:szCs w:val="24"/>
        </w:rPr>
        <w:t>Tafsiran 1 Korintus 11:27-30</w:t>
      </w:r>
      <w:r w:rsidRPr="0048492B">
        <w:rPr>
          <w:rFonts w:ascii="Times New Roman" w:hAnsi="Times New Roman" w:cs="Times New Roman"/>
          <w:sz w:val="24"/>
          <w:szCs w:val="24"/>
        </w:rPr>
        <w:t xml:space="preserve">. Alkitab SABDA. Diakses 29 April 2026. </w:t>
      </w:r>
      <w:hyperlink r:id="rId8" w:tgtFrame="_blank" w:history="1">
        <w:r w:rsidRPr="0048492B">
          <w:rPr>
            <w:rStyle w:val="Hyperlink"/>
            <w:rFonts w:ascii="Times New Roman" w:hAnsi="Times New Roman" w:cs="Times New Roman"/>
            <w:color w:val="auto"/>
            <w:sz w:val="24"/>
            <w:szCs w:val="24"/>
          </w:rPr>
          <w:t>https://www.alkitab.sabda.org/commentary.php?passage=1Kor%2011:27-30</w:t>
        </w:r>
      </w:hyperlink>
      <w:r w:rsidRPr="0048492B">
        <w:rPr>
          <w:rFonts w:ascii="Times New Roman" w:hAnsi="Times New Roman" w:cs="Times New Roman"/>
          <w:sz w:val="24"/>
          <w:szCs w:val="24"/>
        </w:rPr>
        <w:t>.</w:t>
      </w:r>
    </w:p>
    <w:p w:rsidR="0048492B" w:rsidRPr="0048492B" w:rsidRDefault="0048492B" w:rsidP="0048492B">
      <w:pPr>
        <w:spacing w:line="276" w:lineRule="auto"/>
        <w:ind w:left="1418" w:hanging="567"/>
        <w:jc w:val="both"/>
        <w:rPr>
          <w:rFonts w:ascii="Times New Roman" w:hAnsi="Times New Roman" w:cs="Times New Roman"/>
          <w:sz w:val="24"/>
          <w:szCs w:val="24"/>
        </w:rPr>
      </w:pPr>
      <w:r w:rsidRPr="0048492B">
        <w:rPr>
          <w:rFonts w:ascii="Times New Roman" w:hAnsi="Times New Roman" w:cs="Times New Roman"/>
          <w:sz w:val="24"/>
          <w:szCs w:val="24"/>
        </w:rPr>
        <w:lastRenderedPageBreak/>
        <w:t xml:space="preserve">“Eksposisi 1 Korintus 11:27-34.” Reformed Evangelical Council (REC), 5 Mei 2013. </w:t>
      </w:r>
      <w:hyperlink r:id="rId9" w:tgtFrame="_blank" w:history="1">
        <w:r w:rsidRPr="0048492B">
          <w:rPr>
            <w:rStyle w:val="Hyperlink"/>
            <w:rFonts w:ascii="Times New Roman" w:hAnsi="Times New Roman" w:cs="Times New Roman"/>
            <w:color w:val="auto"/>
            <w:sz w:val="24"/>
            <w:szCs w:val="24"/>
          </w:rPr>
          <w:t>https://rec.or.id/eksposisi-1-korintus-1127-34/</w:t>
        </w:r>
      </w:hyperlink>
      <w:r w:rsidRPr="0048492B">
        <w:rPr>
          <w:rFonts w:ascii="Times New Roman" w:hAnsi="Times New Roman" w:cs="Times New Roman"/>
          <w:sz w:val="24"/>
          <w:szCs w:val="24"/>
        </w:rPr>
        <w:t>.</w:t>
      </w:r>
    </w:p>
    <w:p w:rsidR="0048492B" w:rsidRPr="0048492B" w:rsidRDefault="0048492B" w:rsidP="0048492B">
      <w:pPr>
        <w:spacing w:line="276" w:lineRule="auto"/>
        <w:ind w:left="1418" w:hanging="567"/>
        <w:jc w:val="both"/>
        <w:rPr>
          <w:rFonts w:ascii="Times New Roman" w:hAnsi="Times New Roman" w:cs="Times New Roman"/>
          <w:sz w:val="24"/>
          <w:szCs w:val="24"/>
        </w:rPr>
      </w:pPr>
      <w:r w:rsidRPr="0048492B">
        <w:rPr>
          <w:rFonts w:ascii="Times New Roman" w:hAnsi="Times New Roman" w:cs="Times New Roman"/>
          <w:sz w:val="24"/>
          <w:szCs w:val="24"/>
        </w:rPr>
        <w:t xml:space="preserve">Piper, John. “What Spoils the Lord’s Supper? How Not to Come to the Table.” Desiring God, 11 September 2022. </w:t>
      </w:r>
      <w:hyperlink r:id="rId10" w:tgtFrame="_blank" w:history="1">
        <w:r w:rsidRPr="0048492B">
          <w:rPr>
            <w:rStyle w:val="Hyperlink"/>
            <w:rFonts w:ascii="Times New Roman" w:hAnsi="Times New Roman" w:cs="Times New Roman"/>
            <w:color w:val="auto"/>
            <w:sz w:val="24"/>
            <w:szCs w:val="24"/>
          </w:rPr>
          <w:t>https://www.desiringgod.org/articles/what-spoils-the-lords-supper</w:t>
        </w:r>
      </w:hyperlink>
      <w:r w:rsidRPr="0048492B">
        <w:rPr>
          <w:rFonts w:ascii="Times New Roman" w:hAnsi="Times New Roman" w:cs="Times New Roman"/>
          <w:sz w:val="24"/>
          <w:szCs w:val="24"/>
        </w:rPr>
        <w:t>.</w:t>
      </w:r>
    </w:p>
    <w:p w:rsidR="0048492B" w:rsidRPr="0048492B" w:rsidRDefault="0048492B" w:rsidP="0048492B">
      <w:pPr>
        <w:spacing w:line="276" w:lineRule="auto"/>
        <w:ind w:left="1418" w:hanging="567"/>
        <w:jc w:val="both"/>
        <w:rPr>
          <w:rFonts w:ascii="Times New Roman" w:hAnsi="Times New Roman" w:cs="Times New Roman"/>
          <w:sz w:val="24"/>
          <w:szCs w:val="24"/>
        </w:rPr>
      </w:pPr>
      <w:r w:rsidRPr="0048492B">
        <w:rPr>
          <w:rFonts w:ascii="Times New Roman" w:hAnsi="Times New Roman" w:cs="Times New Roman"/>
          <w:sz w:val="24"/>
          <w:szCs w:val="24"/>
        </w:rPr>
        <w:t xml:space="preserve">Prabowo, Paulus Dimas. “Perjamuan Kudus Menurut 1 Korintus 10-11 dan Fungsinya dalam Lensa Psikologi Agama.” </w:t>
      </w:r>
      <w:r w:rsidRPr="0048492B">
        <w:rPr>
          <w:rFonts w:ascii="Times New Roman" w:hAnsi="Times New Roman" w:cs="Times New Roman"/>
          <w:i/>
          <w:iCs/>
          <w:sz w:val="24"/>
          <w:szCs w:val="24"/>
        </w:rPr>
        <w:t>Jurnal Misioner</w:t>
      </w:r>
      <w:r w:rsidRPr="0048492B">
        <w:rPr>
          <w:rFonts w:ascii="Times New Roman" w:hAnsi="Times New Roman" w:cs="Times New Roman"/>
          <w:sz w:val="24"/>
          <w:szCs w:val="24"/>
        </w:rPr>
        <w:t xml:space="preserve"> (2022).</w:t>
      </w:r>
    </w:p>
    <w:p w:rsidR="00457885" w:rsidRPr="00FD2290" w:rsidRDefault="00457885" w:rsidP="0048492B">
      <w:pPr>
        <w:spacing w:line="276" w:lineRule="auto"/>
        <w:jc w:val="both"/>
        <w:rPr>
          <w:rFonts w:ascii="Times New Roman" w:hAnsi="Times New Roman" w:cs="Times New Roman"/>
          <w:sz w:val="24"/>
          <w:szCs w:val="24"/>
        </w:rPr>
      </w:pPr>
    </w:p>
    <w:sectPr w:rsidR="00457885" w:rsidRPr="00FD2290" w:rsidSect="00765656">
      <w:headerReference w:type="default" r:id="rId11"/>
      <w:footerReference w:type="default" r:id="rId12"/>
      <w:pgSz w:w="10318" w:h="14570" w:code="13"/>
      <w:pgMar w:top="1440" w:right="1440" w:bottom="1440" w:left="1440" w:header="708" w:footer="708" w:gutter="0"/>
      <w:pgNumType w:start="4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7190" w:rsidRDefault="005B7190" w:rsidP="00FD2290">
      <w:pPr>
        <w:spacing w:after="0" w:line="240" w:lineRule="auto"/>
      </w:pPr>
      <w:r>
        <w:separator/>
      </w:r>
    </w:p>
  </w:endnote>
  <w:endnote w:type="continuationSeparator" w:id="0">
    <w:p w:rsidR="005B7190" w:rsidRDefault="005B7190" w:rsidP="00FD2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808320"/>
      <w:docPartObj>
        <w:docPartGallery w:val="Page Numbers (Bottom of Page)"/>
        <w:docPartUnique/>
      </w:docPartObj>
    </w:sdtPr>
    <w:sdtEndPr>
      <w:rPr>
        <w:noProof/>
      </w:rPr>
    </w:sdtEndPr>
    <w:sdtContent>
      <w:p w:rsidR="00765656" w:rsidRDefault="00765656">
        <w:pPr>
          <w:pStyle w:val="Footer"/>
          <w:jc w:val="center"/>
        </w:pPr>
        <w:r>
          <w:fldChar w:fldCharType="begin"/>
        </w:r>
        <w:r>
          <w:instrText xml:space="preserve"> PAGE   \* MERGEFORMAT </w:instrText>
        </w:r>
        <w:r>
          <w:fldChar w:fldCharType="separate"/>
        </w:r>
        <w:r w:rsidR="00106F68">
          <w:rPr>
            <w:noProof/>
          </w:rPr>
          <w:t>56</w:t>
        </w:r>
        <w:r>
          <w:rPr>
            <w:noProof/>
          </w:rPr>
          <w:fldChar w:fldCharType="end"/>
        </w:r>
      </w:p>
    </w:sdtContent>
  </w:sdt>
  <w:p w:rsidR="00765656" w:rsidRDefault="007656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7190" w:rsidRDefault="005B7190" w:rsidP="00FD2290">
      <w:pPr>
        <w:spacing w:after="0" w:line="240" w:lineRule="auto"/>
      </w:pPr>
      <w:r>
        <w:separator/>
      </w:r>
    </w:p>
  </w:footnote>
  <w:footnote w:type="continuationSeparator" w:id="0">
    <w:p w:rsidR="005B7190" w:rsidRDefault="005B7190" w:rsidP="00FD2290">
      <w:pPr>
        <w:spacing w:after="0" w:line="240" w:lineRule="auto"/>
      </w:pPr>
      <w:r>
        <w:continuationSeparator/>
      </w:r>
    </w:p>
  </w:footnote>
  <w:footnote w:id="1">
    <w:p w:rsidR="00FD2290" w:rsidRDefault="00FD2290" w:rsidP="00FD2290">
      <w:pPr>
        <w:pStyle w:val="FootnoteText"/>
        <w:ind w:firstLine="720"/>
      </w:pPr>
      <w:r>
        <w:rPr>
          <w:rStyle w:val="FootnoteReference"/>
        </w:rPr>
        <w:footnoteRef/>
      </w:r>
      <w:r w:rsidRPr="00FD2290">
        <w:t>Alkitab Terjemahan Baru, 1 Korintus 11:23-26.</w:t>
      </w:r>
    </w:p>
  </w:footnote>
  <w:footnote w:id="2">
    <w:p w:rsidR="00FD2290" w:rsidRDefault="00FD2290" w:rsidP="00FD2290">
      <w:pPr>
        <w:pStyle w:val="FootnoteText"/>
        <w:ind w:firstLine="720"/>
      </w:pPr>
      <w:r>
        <w:rPr>
          <w:rStyle w:val="FootnoteReference"/>
        </w:rPr>
        <w:footnoteRef/>
      </w:r>
      <w:r w:rsidRPr="00FD2290">
        <w:t>Gordon D. Fee, The First Epistle to the Corinthians, NICNT, rev. ed. (Grand Rapids: Eerdmans, 2014), hlm. 531-569.</w:t>
      </w:r>
    </w:p>
  </w:footnote>
  <w:footnote w:id="3">
    <w:p w:rsidR="00FD2290" w:rsidRDefault="00FD2290" w:rsidP="00FD2290">
      <w:pPr>
        <w:pStyle w:val="FootnoteText"/>
        <w:ind w:firstLine="720"/>
      </w:pPr>
      <w:r>
        <w:rPr>
          <w:rStyle w:val="FootnoteReference"/>
        </w:rPr>
        <w:footnoteRef/>
      </w:r>
      <w:r w:rsidRPr="00FD2290">
        <w:t>David E. Garland, 1 Corinthians, Baker Exegetical Commentary on the New Testament (Grand Rapids: Baker Academic, 2003), hlm. 545-560; lihat juga penjelasan tentang anaxios sebagai adverbia yang menekankan cara, bukan status pribadi.</w:t>
      </w:r>
    </w:p>
  </w:footnote>
  <w:footnote w:id="4">
    <w:p w:rsidR="00FD2290" w:rsidRDefault="00FD2290" w:rsidP="00FD2290">
      <w:pPr>
        <w:pStyle w:val="FootnoteText"/>
        <w:ind w:firstLine="720"/>
      </w:pPr>
      <w:r>
        <w:rPr>
          <w:rStyle w:val="FootnoteReference"/>
        </w:rPr>
        <w:footnoteRef/>
      </w:r>
      <w:r w:rsidRPr="00FD2290">
        <w:t>“Eksposisi 1 Korintus 11:27-34,” Reformed Evangelical Council (REC), 5 Mei 2013, https://rec.or.id/eksposisi-1-korintus-1127-34/.</w:t>
      </w:r>
    </w:p>
  </w:footnote>
  <w:footnote w:id="5">
    <w:p w:rsidR="00FD2290" w:rsidRDefault="00FD2290" w:rsidP="00FD2290">
      <w:pPr>
        <w:pStyle w:val="FootnoteText"/>
        <w:ind w:firstLine="720"/>
      </w:pPr>
      <w:r>
        <w:rPr>
          <w:rStyle w:val="FootnoteReference"/>
        </w:rPr>
        <w:footnoteRef/>
      </w:r>
      <w:r w:rsidRPr="00FD2290">
        <w:t>John Gill, Tafsiran 1 Korintus 11:27-30, Alkitab SABDA, https://www.alkitab.sabda.org/commentary.php?passage=1Kor%2011:27-30.</w:t>
      </w:r>
    </w:p>
  </w:footnote>
  <w:footnote w:id="6">
    <w:p w:rsidR="00FD2290" w:rsidRDefault="00FD2290" w:rsidP="00FD2290">
      <w:pPr>
        <w:pStyle w:val="FootnoteText"/>
        <w:ind w:firstLine="720"/>
      </w:pPr>
      <w:r>
        <w:rPr>
          <w:rStyle w:val="FootnoteReference"/>
        </w:rPr>
        <w:footnoteRef/>
      </w:r>
      <w:r w:rsidRPr="00FD2290">
        <w:t>William Barclay, The Letters to the Corinthians, Daily Study Bible (Philadelphia: Westminster Press, 1975), bagian pada 1 Korintus 11.</w:t>
      </w:r>
    </w:p>
  </w:footnote>
  <w:footnote w:id="7">
    <w:p w:rsidR="00FD2290" w:rsidRDefault="00FD2290" w:rsidP="00FD2290">
      <w:pPr>
        <w:pStyle w:val="FootnoteText"/>
        <w:ind w:firstLine="720"/>
      </w:pPr>
      <w:r>
        <w:rPr>
          <w:rStyle w:val="FootnoteReference"/>
        </w:rPr>
        <w:footnoteRef/>
      </w:r>
      <w:r w:rsidRPr="00FD2290">
        <w:t>Stephen O. Ademiluka, “Interpreting 1 Corinthians 11:27–30 in Light of the Denial and Avoidance of the Holy Communion in Some Churches,” HTS Teologiese Studies/Theological Studies 78, no. 4 (2022).</w:t>
      </w:r>
    </w:p>
  </w:footnote>
  <w:footnote w:id="8">
    <w:p w:rsidR="00FD2290" w:rsidRDefault="00FD2290" w:rsidP="00FD2290">
      <w:pPr>
        <w:pStyle w:val="FootnoteText"/>
        <w:ind w:firstLine="720"/>
      </w:pPr>
      <w:r>
        <w:rPr>
          <w:rStyle w:val="FootnoteReference"/>
        </w:rPr>
        <w:footnoteRef/>
      </w:r>
      <w:r w:rsidRPr="00FD2290">
        <w:t>Paulus Dimas Prabowo, “Perjamuan Kudus Menurut 1 Korintus 10-11 dan Fungsinya dalam Lensa Psikologi Agama,” Jurnal Misioner (2022).</w:t>
      </w:r>
    </w:p>
  </w:footnote>
  <w:footnote w:id="9">
    <w:p w:rsidR="00FD2290" w:rsidRDefault="00FD2290" w:rsidP="00FD2290">
      <w:pPr>
        <w:pStyle w:val="FootnoteText"/>
        <w:ind w:firstLine="720"/>
      </w:pPr>
      <w:r>
        <w:rPr>
          <w:rStyle w:val="FootnoteReference"/>
        </w:rPr>
        <w:footnoteRef/>
      </w:r>
      <w:r w:rsidRPr="00FD2290">
        <w:t>Ibid.</w:t>
      </w:r>
    </w:p>
  </w:footnote>
  <w:footnote w:id="10">
    <w:p w:rsidR="00FD2290" w:rsidRDefault="00FD2290" w:rsidP="00FD2290">
      <w:pPr>
        <w:pStyle w:val="FootnoteText"/>
        <w:ind w:firstLine="720"/>
      </w:pPr>
      <w:r>
        <w:rPr>
          <w:rStyle w:val="FootnoteReference"/>
        </w:rPr>
        <w:footnoteRef/>
      </w:r>
      <w:r>
        <w:t xml:space="preserve"> </w:t>
      </w:r>
      <w:r w:rsidRPr="00FD2290">
        <w:t>John Piper, “What Spoils the Lord’s Supper? How Not to Come to the Table,” Desiring God, 11 September 2022.</w:t>
      </w:r>
    </w:p>
  </w:footnote>
  <w:footnote w:id="11">
    <w:p w:rsidR="00FD2290" w:rsidRDefault="00FD2290" w:rsidP="00FD2290">
      <w:pPr>
        <w:pStyle w:val="FootnoteText"/>
        <w:ind w:firstLine="720"/>
      </w:pPr>
      <w:r>
        <w:rPr>
          <w:rStyle w:val="FootnoteReference"/>
        </w:rPr>
        <w:footnoteRef/>
      </w:r>
      <w:r w:rsidRPr="00FD2290">
        <w:t>Makna Perjamuan Kudus dalam 1 Korintus, dokumen studi kepustakaan, https://id.scribd.com/document/956205728/Makna-Dan-Pendekatan-1-Korintus-11.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92B" w:rsidRPr="00822673" w:rsidRDefault="0048492B" w:rsidP="0048492B">
    <w:pPr>
      <w:pStyle w:val="Header"/>
      <w:rPr>
        <w:rFonts w:ascii="Cambria" w:hAnsi="Cambria"/>
        <w:i/>
      </w:rPr>
    </w:pPr>
    <w:r w:rsidRPr="00822673">
      <w:rPr>
        <w:rFonts w:ascii="Cambria" w:hAnsi="Cambria"/>
        <w:i/>
      </w:rPr>
      <w:t>JURNAL TEOLOGI KALAM MULIA</w:t>
    </w:r>
  </w:p>
  <w:p w:rsidR="0048492B" w:rsidRPr="00822673" w:rsidRDefault="0048492B" w:rsidP="0048492B">
    <w:pPr>
      <w:pStyle w:val="Header"/>
      <w:rPr>
        <w:rFonts w:ascii="Cambria" w:hAnsi="Cambria"/>
        <w:i/>
      </w:rPr>
    </w:pPr>
    <w:r w:rsidRPr="00822673">
      <w:rPr>
        <w:rFonts w:ascii="Cambria" w:hAnsi="Cambria"/>
        <w:i/>
      </w:rPr>
      <w:t>“SAKRAMEN PERJAMUAN KUDUS SECARA ALKITABIAH DAN TEOLOGIS”</w:t>
    </w:r>
  </w:p>
  <w:p w:rsidR="0048492B" w:rsidRDefault="0048492B" w:rsidP="0048492B">
    <w:pPr>
      <w:pStyle w:val="Header"/>
      <w:rPr>
        <w:rFonts w:ascii="Cambria" w:hAnsi="Cambria"/>
        <w:i/>
      </w:rPr>
    </w:pPr>
    <w:r w:rsidRPr="00822673">
      <w:rPr>
        <w:rFonts w:ascii="Cambria" w:hAnsi="Cambria"/>
        <w:i/>
      </w:rPr>
      <w:t>VOL. 21 JANUARI 2025</w:t>
    </w:r>
  </w:p>
  <w:p w:rsidR="0048492B" w:rsidRDefault="00484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5E6570"/>
    <w:multiLevelType w:val="multilevel"/>
    <w:tmpl w:val="AA528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D961DE"/>
    <w:multiLevelType w:val="multilevel"/>
    <w:tmpl w:val="AA6C8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2E578D"/>
    <w:multiLevelType w:val="multilevel"/>
    <w:tmpl w:val="E58E0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CF90F5A"/>
    <w:multiLevelType w:val="multilevel"/>
    <w:tmpl w:val="4FA24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95461A4"/>
    <w:multiLevelType w:val="hybridMultilevel"/>
    <w:tmpl w:val="913417C8"/>
    <w:lvl w:ilvl="0" w:tplc="BC7ED30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290"/>
    <w:rsid w:val="00106F68"/>
    <w:rsid w:val="00457885"/>
    <w:rsid w:val="0048492B"/>
    <w:rsid w:val="005B7190"/>
    <w:rsid w:val="00765656"/>
    <w:rsid w:val="0077151F"/>
    <w:rsid w:val="00FD2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E18D4"/>
  <w15:chartTrackingRefBased/>
  <w15:docId w15:val="{5A55F755-9A4F-4409-9224-952567C58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D22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2290"/>
    <w:rPr>
      <w:sz w:val="20"/>
      <w:szCs w:val="20"/>
    </w:rPr>
  </w:style>
  <w:style w:type="character" w:styleId="FootnoteReference">
    <w:name w:val="footnote reference"/>
    <w:basedOn w:val="DefaultParagraphFont"/>
    <w:uiPriority w:val="99"/>
    <w:semiHidden/>
    <w:unhideWhenUsed/>
    <w:rsid w:val="00FD2290"/>
    <w:rPr>
      <w:vertAlign w:val="superscript"/>
    </w:rPr>
  </w:style>
  <w:style w:type="paragraph" w:styleId="NormalWeb">
    <w:name w:val="Normal (Web)"/>
    <w:basedOn w:val="Normal"/>
    <w:uiPriority w:val="99"/>
    <w:semiHidden/>
    <w:unhideWhenUsed/>
    <w:rsid w:val="00FD2290"/>
    <w:rPr>
      <w:rFonts w:ascii="Times New Roman" w:hAnsi="Times New Roman" w:cs="Times New Roman"/>
      <w:sz w:val="24"/>
      <w:szCs w:val="24"/>
    </w:rPr>
  </w:style>
  <w:style w:type="character" w:styleId="Hyperlink">
    <w:name w:val="Hyperlink"/>
    <w:basedOn w:val="DefaultParagraphFont"/>
    <w:uiPriority w:val="99"/>
    <w:unhideWhenUsed/>
    <w:rsid w:val="0048492B"/>
    <w:rPr>
      <w:color w:val="0563C1" w:themeColor="hyperlink"/>
      <w:u w:val="single"/>
    </w:rPr>
  </w:style>
  <w:style w:type="paragraph" w:styleId="ListParagraph">
    <w:name w:val="List Paragraph"/>
    <w:basedOn w:val="Normal"/>
    <w:uiPriority w:val="34"/>
    <w:qFormat/>
    <w:rsid w:val="0048492B"/>
    <w:pPr>
      <w:ind w:left="720"/>
      <w:contextualSpacing/>
    </w:pPr>
  </w:style>
  <w:style w:type="paragraph" w:styleId="Header">
    <w:name w:val="header"/>
    <w:basedOn w:val="Normal"/>
    <w:link w:val="HeaderChar"/>
    <w:uiPriority w:val="99"/>
    <w:unhideWhenUsed/>
    <w:rsid w:val="00484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92B"/>
  </w:style>
  <w:style w:type="paragraph" w:styleId="Footer">
    <w:name w:val="footer"/>
    <w:basedOn w:val="Normal"/>
    <w:link w:val="FooterChar"/>
    <w:uiPriority w:val="99"/>
    <w:unhideWhenUsed/>
    <w:rsid w:val="00484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92B"/>
  </w:style>
  <w:style w:type="paragraph" w:styleId="BalloonText">
    <w:name w:val="Balloon Text"/>
    <w:basedOn w:val="Normal"/>
    <w:link w:val="BalloonTextChar"/>
    <w:uiPriority w:val="99"/>
    <w:semiHidden/>
    <w:unhideWhenUsed/>
    <w:rsid w:val="007656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56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696189">
      <w:bodyDiv w:val="1"/>
      <w:marLeft w:val="0"/>
      <w:marRight w:val="0"/>
      <w:marTop w:val="0"/>
      <w:marBottom w:val="0"/>
      <w:divBdr>
        <w:top w:val="none" w:sz="0" w:space="0" w:color="auto"/>
        <w:left w:val="none" w:sz="0" w:space="0" w:color="auto"/>
        <w:bottom w:val="none" w:sz="0" w:space="0" w:color="auto"/>
        <w:right w:val="none" w:sz="0" w:space="0" w:color="auto"/>
      </w:divBdr>
    </w:div>
    <w:div w:id="243688750">
      <w:bodyDiv w:val="1"/>
      <w:marLeft w:val="0"/>
      <w:marRight w:val="0"/>
      <w:marTop w:val="0"/>
      <w:marBottom w:val="0"/>
      <w:divBdr>
        <w:top w:val="none" w:sz="0" w:space="0" w:color="auto"/>
        <w:left w:val="none" w:sz="0" w:space="0" w:color="auto"/>
        <w:bottom w:val="none" w:sz="0" w:space="0" w:color="auto"/>
        <w:right w:val="none" w:sz="0" w:space="0" w:color="auto"/>
      </w:divBdr>
    </w:div>
    <w:div w:id="290986017">
      <w:bodyDiv w:val="1"/>
      <w:marLeft w:val="0"/>
      <w:marRight w:val="0"/>
      <w:marTop w:val="0"/>
      <w:marBottom w:val="0"/>
      <w:divBdr>
        <w:top w:val="none" w:sz="0" w:space="0" w:color="auto"/>
        <w:left w:val="none" w:sz="0" w:space="0" w:color="auto"/>
        <w:bottom w:val="none" w:sz="0" w:space="0" w:color="auto"/>
        <w:right w:val="none" w:sz="0" w:space="0" w:color="auto"/>
      </w:divBdr>
    </w:div>
    <w:div w:id="434907599">
      <w:bodyDiv w:val="1"/>
      <w:marLeft w:val="0"/>
      <w:marRight w:val="0"/>
      <w:marTop w:val="0"/>
      <w:marBottom w:val="0"/>
      <w:divBdr>
        <w:top w:val="none" w:sz="0" w:space="0" w:color="auto"/>
        <w:left w:val="none" w:sz="0" w:space="0" w:color="auto"/>
        <w:bottom w:val="none" w:sz="0" w:space="0" w:color="auto"/>
        <w:right w:val="none" w:sz="0" w:space="0" w:color="auto"/>
      </w:divBdr>
    </w:div>
    <w:div w:id="469056612">
      <w:bodyDiv w:val="1"/>
      <w:marLeft w:val="0"/>
      <w:marRight w:val="0"/>
      <w:marTop w:val="0"/>
      <w:marBottom w:val="0"/>
      <w:divBdr>
        <w:top w:val="none" w:sz="0" w:space="0" w:color="auto"/>
        <w:left w:val="none" w:sz="0" w:space="0" w:color="auto"/>
        <w:bottom w:val="none" w:sz="0" w:space="0" w:color="auto"/>
        <w:right w:val="none" w:sz="0" w:space="0" w:color="auto"/>
      </w:divBdr>
    </w:div>
    <w:div w:id="587270896">
      <w:bodyDiv w:val="1"/>
      <w:marLeft w:val="0"/>
      <w:marRight w:val="0"/>
      <w:marTop w:val="0"/>
      <w:marBottom w:val="0"/>
      <w:divBdr>
        <w:top w:val="none" w:sz="0" w:space="0" w:color="auto"/>
        <w:left w:val="none" w:sz="0" w:space="0" w:color="auto"/>
        <w:bottom w:val="none" w:sz="0" w:space="0" w:color="auto"/>
        <w:right w:val="none" w:sz="0" w:space="0" w:color="auto"/>
      </w:divBdr>
    </w:div>
    <w:div w:id="628126747">
      <w:bodyDiv w:val="1"/>
      <w:marLeft w:val="0"/>
      <w:marRight w:val="0"/>
      <w:marTop w:val="0"/>
      <w:marBottom w:val="0"/>
      <w:divBdr>
        <w:top w:val="none" w:sz="0" w:space="0" w:color="auto"/>
        <w:left w:val="none" w:sz="0" w:space="0" w:color="auto"/>
        <w:bottom w:val="none" w:sz="0" w:space="0" w:color="auto"/>
        <w:right w:val="none" w:sz="0" w:space="0" w:color="auto"/>
      </w:divBdr>
    </w:div>
    <w:div w:id="1012490232">
      <w:bodyDiv w:val="1"/>
      <w:marLeft w:val="0"/>
      <w:marRight w:val="0"/>
      <w:marTop w:val="0"/>
      <w:marBottom w:val="0"/>
      <w:divBdr>
        <w:top w:val="none" w:sz="0" w:space="0" w:color="auto"/>
        <w:left w:val="none" w:sz="0" w:space="0" w:color="auto"/>
        <w:bottom w:val="none" w:sz="0" w:space="0" w:color="auto"/>
        <w:right w:val="none" w:sz="0" w:space="0" w:color="auto"/>
      </w:divBdr>
    </w:div>
    <w:div w:id="1044792192">
      <w:bodyDiv w:val="1"/>
      <w:marLeft w:val="0"/>
      <w:marRight w:val="0"/>
      <w:marTop w:val="0"/>
      <w:marBottom w:val="0"/>
      <w:divBdr>
        <w:top w:val="none" w:sz="0" w:space="0" w:color="auto"/>
        <w:left w:val="none" w:sz="0" w:space="0" w:color="auto"/>
        <w:bottom w:val="none" w:sz="0" w:space="0" w:color="auto"/>
        <w:right w:val="none" w:sz="0" w:space="0" w:color="auto"/>
      </w:divBdr>
    </w:div>
    <w:div w:id="1132282848">
      <w:bodyDiv w:val="1"/>
      <w:marLeft w:val="0"/>
      <w:marRight w:val="0"/>
      <w:marTop w:val="0"/>
      <w:marBottom w:val="0"/>
      <w:divBdr>
        <w:top w:val="none" w:sz="0" w:space="0" w:color="auto"/>
        <w:left w:val="none" w:sz="0" w:space="0" w:color="auto"/>
        <w:bottom w:val="none" w:sz="0" w:space="0" w:color="auto"/>
        <w:right w:val="none" w:sz="0" w:space="0" w:color="auto"/>
      </w:divBdr>
    </w:div>
    <w:div w:id="1171677521">
      <w:bodyDiv w:val="1"/>
      <w:marLeft w:val="0"/>
      <w:marRight w:val="0"/>
      <w:marTop w:val="0"/>
      <w:marBottom w:val="0"/>
      <w:divBdr>
        <w:top w:val="none" w:sz="0" w:space="0" w:color="auto"/>
        <w:left w:val="none" w:sz="0" w:space="0" w:color="auto"/>
        <w:bottom w:val="none" w:sz="0" w:space="0" w:color="auto"/>
        <w:right w:val="none" w:sz="0" w:space="0" w:color="auto"/>
      </w:divBdr>
    </w:div>
    <w:div w:id="1346789565">
      <w:bodyDiv w:val="1"/>
      <w:marLeft w:val="0"/>
      <w:marRight w:val="0"/>
      <w:marTop w:val="0"/>
      <w:marBottom w:val="0"/>
      <w:divBdr>
        <w:top w:val="none" w:sz="0" w:space="0" w:color="auto"/>
        <w:left w:val="none" w:sz="0" w:space="0" w:color="auto"/>
        <w:bottom w:val="none" w:sz="0" w:space="0" w:color="auto"/>
        <w:right w:val="none" w:sz="0" w:space="0" w:color="auto"/>
      </w:divBdr>
    </w:div>
    <w:div w:id="1518230738">
      <w:bodyDiv w:val="1"/>
      <w:marLeft w:val="0"/>
      <w:marRight w:val="0"/>
      <w:marTop w:val="0"/>
      <w:marBottom w:val="0"/>
      <w:divBdr>
        <w:top w:val="none" w:sz="0" w:space="0" w:color="auto"/>
        <w:left w:val="none" w:sz="0" w:space="0" w:color="auto"/>
        <w:bottom w:val="none" w:sz="0" w:space="0" w:color="auto"/>
        <w:right w:val="none" w:sz="0" w:space="0" w:color="auto"/>
      </w:divBdr>
    </w:div>
    <w:div w:id="1747612570">
      <w:bodyDiv w:val="1"/>
      <w:marLeft w:val="0"/>
      <w:marRight w:val="0"/>
      <w:marTop w:val="0"/>
      <w:marBottom w:val="0"/>
      <w:divBdr>
        <w:top w:val="none" w:sz="0" w:space="0" w:color="auto"/>
        <w:left w:val="none" w:sz="0" w:space="0" w:color="auto"/>
        <w:bottom w:val="none" w:sz="0" w:space="0" w:color="auto"/>
        <w:right w:val="none" w:sz="0" w:space="0" w:color="auto"/>
      </w:divBdr>
    </w:div>
    <w:div w:id="1777826223">
      <w:bodyDiv w:val="1"/>
      <w:marLeft w:val="0"/>
      <w:marRight w:val="0"/>
      <w:marTop w:val="0"/>
      <w:marBottom w:val="0"/>
      <w:divBdr>
        <w:top w:val="none" w:sz="0" w:space="0" w:color="auto"/>
        <w:left w:val="none" w:sz="0" w:space="0" w:color="auto"/>
        <w:bottom w:val="none" w:sz="0" w:space="0" w:color="auto"/>
        <w:right w:val="none" w:sz="0" w:space="0" w:color="auto"/>
      </w:divBdr>
    </w:div>
    <w:div w:id="1889686740">
      <w:bodyDiv w:val="1"/>
      <w:marLeft w:val="0"/>
      <w:marRight w:val="0"/>
      <w:marTop w:val="0"/>
      <w:marBottom w:val="0"/>
      <w:divBdr>
        <w:top w:val="none" w:sz="0" w:space="0" w:color="auto"/>
        <w:left w:val="none" w:sz="0" w:space="0" w:color="auto"/>
        <w:bottom w:val="none" w:sz="0" w:space="0" w:color="auto"/>
        <w:right w:val="none" w:sz="0" w:space="0" w:color="auto"/>
      </w:divBdr>
    </w:div>
    <w:div w:id="1959873549">
      <w:bodyDiv w:val="1"/>
      <w:marLeft w:val="0"/>
      <w:marRight w:val="0"/>
      <w:marTop w:val="0"/>
      <w:marBottom w:val="0"/>
      <w:divBdr>
        <w:top w:val="none" w:sz="0" w:space="0" w:color="auto"/>
        <w:left w:val="none" w:sz="0" w:space="0" w:color="auto"/>
        <w:bottom w:val="none" w:sz="0" w:space="0" w:color="auto"/>
        <w:right w:val="none" w:sz="0" w:space="0" w:color="auto"/>
      </w:divBdr>
    </w:div>
    <w:div w:id="1991247424">
      <w:bodyDiv w:val="1"/>
      <w:marLeft w:val="0"/>
      <w:marRight w:val="0"/>
      <w:marTop w:val="0"/>
      <w:marBottom w:val="0"/>
      <w:divBdr>
        <w:top w:val="none" w:sz="0" w:space="0" w:color="auto"/>
        <w:left w:val="none" w:sz="0" w:space="0" w:color="auto"/>
        <w:bottom w:val="none" w:sz="0" w:space="0" w:color="auto"/>
        <w:right w:val="none" w:sz="0" w:space="0" w:color="auto"/>
      </w:divBdr>
    </w:div>
    <w:div w:id="2044163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kitab.sabda.org/commentary.php?passage=1Kor%2011:27-3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desiringgod.org/articles/what-spoils-the-lords-supper" TargetMode="External"/><Relationship Id="rId4" Type="http://schemas.openxmlformats.org/officeDocument/2006/relationships/settings" Target="settings.xml"/><Relationship Id="rId9" Type="http://schemas.openxmlformats.org/officeDocument/2006/relationships/hyperlink" Target="https://rec.or.id/eksposisi-1-korintus-1127-3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F20D7-BD88-4120-985F-AD7887292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10</Pages>
  <Words>2538</Words>
  <Characters>14472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octa</dc:creator>
  <cp:keywords/>
  <dc:description/>
  <cp:lastModifiedBy>octa</cp:lastModifiedBy>
  <cp:revision>2</cp:revision>
  <cp:lastPrinted>2026-04-29T04:42:00Z</cp:lastPrinted>
  <dcterms:created xsi:type="dcterms:W3CDTF">2026-04-27T09:37:00Z</dcterms:created>
  <dcterms:modified xsi:type="dcterms:W3CDTF">2026-04-29T07:07:00Z</dcterms:modified>
</cp:coreProperties>
</file>